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3" w:rsidRDefault="00867DA3" w:rsidP="00867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Republica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Moldova</w:t>
      </w:r>
    </w:p>
    <w:p w:rsidR="00867DA3" w:rsidRPr="00867DA3" w:rsidRDefault="00867DA3" w:rsidP="00867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GUVERNULHOTĂRÎRE</w:t>
      </w:r>
      <w:r w:rsidRPr="00867DA3">
        <w:rPr>
          <w:rFonts w:ascii="Times New Roman" w:eastAsia="Times New Roman" w:hAnsi="Times New Roman" w:cs="Times New Roman"/>
          <w:sz w:val="24"/>
          <w:szCs w:val="24"/>
        </w:rPr>
        <w:t> Nr. 923 </w:t>
      </w:r>
      <w:r w:rsidRPr="00867DA3">
        <w:rPr>
          <w:rFonts w:ascii="Times New Roman" w:eastAsia="Times New Roman" w:hAnsi="Times New Roman" w:cs="Times New Roman"/>
          <w:sz w:val="24"/>
          <w:szCs w:val="24"/>
        </w:rPr>
        <w:br/>
        <w:t>din</w:t>
      </w:r>
      <w:proofErr w:type="gramStart"/>
      <w:r w:rsidRPr="00867DA3">
        <w:rPr>
          <w:rFonts w:ascii="Times New Roman" w:eastAsia="Times New Roman" w:hAnsi="Times New Roman" w:cs="Times New Roman"/>
          <w:sz w:val="24"/>
          <w:szCs w:val="24"/>
        </w:rPr>
        <w:t>  04.09.2001</w:t>
      </w:r>
      <w:proofErr w:type="gramEnd"/>
    </w:p>
    <w:p w:rsidR="00867DA3" w:rsidRPr="00867DA3" w:rsidRDefault="00867DA3" w:rsidP="00867D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</w:t>
      </w:r>
      <w:proofErr w:type="gramEnd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privire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plasarea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cîmpul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muncii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absolvenţilor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instituţiilor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învăţămînt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superior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mediu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specialitate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67D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de stat</w:t>
      </w:r>
    </w:p>
    <w:p w:rsidR="00867DA3" w:rsidRPr="00867DA3" w:rsidRDefault="00867DA3" w:rsidP="00867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67DA3">
        <w:rPr>
          <w:rFonts w:ascii="Times New Roman" w:eastAsia="Times New Roman" w:hAnsi="Times New Roman" w:cs="Times New Roman"/>
          <w:sz w:val="24"/>
          <w:szCs w:val="24"/>
        </w:rPr>
        <w:t>Publicat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 06.09.2001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Nr. 108-109     art Nr : 972</w:t>
      </w:r>
    </w:p>
    <w:p w:rsidR="00867DA3" w:rsidRPr="00867DA3" w:rsidRDefault="00867DA3" w:rsidP="00867DA3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i/>
          <w:iCs/>
          <w:color w:val="FF0000"/>
          <w:sz w:val="24"/>
          <w:szCs w:val="24"/>
        </w:rPr>
        <w:t>MODIFICAT</w:t>
      </w:r>
      <w:r w:rsidRPr="00867DA3">
        <w:rPr>
          <w:rFonts w:ascii="Times New Roman CE" w:eastAsia="Times New Roman" w:hAnsi="Times New Roman CE" w:cs="Times New Roman CE"/>
          <w:i/>
          <w:iCs/>
          <w:color w:val="FF0000"/>
          <w:sz w:val="24"/>
          <w:szCs w:val="24"/>
        </w:rPr>
        <w:br/>
        <w:t>    </w:t>
      </w:r>
      <w:hyperlink r:id="rId4" w:history="1">
        <w:r w:rsidRPr="00867DA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HG854 din 14.11.12, MO237-241/16.11.12 art.918</w:t>
        </w:r>
      </w:hyperlink>
    </w:p>
    <w:p w:rsidR="00867DA3" w:rsidRPr="00867DA3" w:rsidRDefault="00867DA3" w:rsidP="00867DA3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" name="Picture 1" descr="http://lex.justice.md/images/link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justice.md/images/lin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DA3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>HG433 din 25.04.06, MO70-72/05.05.06 art.476</w:t>
      </w:r>
    </w:p>
    <w:p w:rsidR="00867DA3" w:rsidRPr="00867DA3" w:rsidRDefault="00867DA3" w:rsidP="00867DA3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2" name="Picture 2" descr="http://lex.justice.md/images/link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x.justice.md/images/link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DA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>HG1551 din 23.12.03, MO13-15/16.01.04 art.81</w:t>
      </w:r>
      <w:r w:rsidRPr="00867DA3">
        <w:rPr>
          <w:rFonts w:ascii="Times New Roman CE" w:eastAsia="Times New Roman" w:hAnsi="Times New Roman CE" w:cs="Times New Roman CE"/>
          <w:color w:val="0000FF"/>
          <w:sz w:val="24"/>
          <w:szCs w:val="24"/>
        </w:rPr>
        <w:br/>
      </w:r>
    </w:p>
    <w:p w:rsidR="00867DA3" w:rsidRPr="00867DA3" w:rsidRDefault="00867DA3" w:rsidP="00867DA3">
      <w:pPr>
        <w:spacing w:after="24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Denumirea</w:t>
      </w:r>
      <w:proofErr w:type="spellEnd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modificată</w:t>
      </w:r>
      <w:proofErr w:type="spellEnd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prin</w:t>
      </w:r>
      <w:proofErr w:type="spellEnd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HG1551 din 23.12.03, MO13-15/16.01.04 art.81</w:t>
      </w:r>
    </w:p>
    <w:p w:rsidR="00867DA3" w:rsidRPr="00867DA3" w:rsidRDefault="00867DA3" w:rsidP="00867DA3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scopul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determinării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tinerilor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specialişti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care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-au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făcut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studiile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grupele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finanţare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la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buget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din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instituţiile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învăţămînt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superior 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mediu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specialitate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se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prezinte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la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locurile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lucru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conform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repartizării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Guvernul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Republicii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Moldova HOTĂRĂŞTE: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" w:eastAsia="Times New Roman" w:hAnsi="Times New Roman" w:cs="Times New Roman"/>
          <w:sz w:val="24"/>
          <w:szCs w:val="24"/>
        </w:rPr>
        <w:br/>
      </w:r>
      <w:r w:rsidRPr="00867DA3">
        <w:rPr>
          <w:rFonts w:ascii="Times New Roman CE" w:eastAsia="Times New Roman" w:hAnsi="Times New Roman CE" w:cs="Times New Roman CE"/>
          <w:color w:val="0000FF"/>
          <w:sz w:val="24"/>
          <w:szCs w:val="24"/>
        </w:rPr>
        <w:t>    </w:t>
      </w:r>
      <w:proofErr w:type="spellStart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>Preambul</w:t>
      </w:r>
      <w:proofErr w:type="spellEnd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>modificat</w:t>
      </w:r>
      <w:proofErr w:type="spellEnd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>prin</w:t>
      </w:r>
      <w:proofErr w:type="spellEnd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 xml:space="preserve"> HG1551 din 23.12.03, MO13-15/16.01.04 art.81</w:t>
      </w:r>
      <w:r w:rsidRPr="00867D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67DA3" w:rsidRPr="00867DA3" w:rsidRDefault="00867DA3" w:rsidP="00867DA3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1. Se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stabileşte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începînd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anul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2001-2002,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instituţiile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învăţămînt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superior 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mediu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specialitate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 de stat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vor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încheia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studenţii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elevii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înmatriculaţi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la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anul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I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(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cursurile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zi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)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grupele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finanţare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la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buget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contracte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privind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instruirea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plasarea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cîmpul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muncii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după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absolvire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funcţie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necesităţile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statului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</w:t>
      </w: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br/>
      </w:r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 xml:space="preserve">    [Pct.1 </w:t>
      </w:r>
      <w:proofErr w:type="spellStart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>modificat</w:t>
      </w:r>
      <w:proofErr w:type="spellEnd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>prin</w:t>
      </w:r>
      <w:proofErr w:type="spellEnd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 xml:space="preserve"> HG433 din 25.04.06, MO70-72/05.05.06 art.476]</w:t>
      </w:r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br/>
        <w:t xml:space="preserve">    [Pct.1 </w:t>
      </w:r>
      <w:proofErr w:type="spellStart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>modificat</w:t>
      </w:r>
      <w:proofErr w:type="spellEnd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>prin</w:t>
      </w:r>
      <w:proofErr w:type="spellEnd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 xml:space="preserve"> HG1551 din 23.12.03, MO13-15/16.01.04 art.81]</w:t>
      </w:r>
    </w:p>
    <w:p w:rsidR="00867DA3" w:rsidRPr="00867DA3" w:rsidRDefault="00867DA3" w:rsidP="00867DA3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2. Se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aprobă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conform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anexei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Contractul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-tip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privind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realizarea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studiilor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instituţiile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învăţămînt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superior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mediu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specialitate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(la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zi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)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grupele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finanţare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bugetară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plasarea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tinerilor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specialişti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cîmpul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muncii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</w:t>
      </w: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br/>
      </w:r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 xml:space="preserve">    [Pct.2 </w:t>
      </w:r>
      <w:proofErr w:type="spellStart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>redacţia</w:t>
      </w:r>
      <w:proofErr w:type="spellEnd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 xml:space="preserve"> HG433 din 25.04.06, MO70-72/05.05.06 art.476]</w:t>
      </w:r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br/>
        <w:t xml:space="preserve">    [Pct.2 </w:t>
      </w:r>
      <w:proofErr w:type="spellStart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>modificat</w:t>
      </w:r>
      <w:proofErr w:type="spellEnd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>prin</w:t>
      </w:r>
      <w:proofErr w:type="spellEnd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 xml:space="preserve"> HG1551 din 23.12.03, MO13-15/16.01.04 art.81]</w:t>
      </w:r>
    </w:p>
    <w:p w:rsidR="00867DA3" w:rsidRPr="00867DA3" w:rsidRDefault="00867DA3" w:rsidP="00867DA3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3. Se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stabileşte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sus-numiţii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absolvenţi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instituţiilor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învăţămînt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superior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stat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repartizaţi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specialităţi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ofertele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ministerelor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autorităţi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administrative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centrale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autorităţilor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administraţiei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locale,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obligaţi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lucreze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trei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unităţile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structurile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care au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repartizaţi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7DA3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[Pct.3 </w:t>
      </w:r>
      <w:proofErr w:type="spellStart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modificat</w:t>
      </w:r>
      <w:proofErr w:type="spellEnd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prin</w:t>
      </w:r>
      <w:proofErr w:type="spellEnd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HG433 din 25.04.06, MO70-72/05.05.06 art.476]</w:t>
      </w:r>
    </w:p>
    <w:p w:rsidR="00867DA3" w:rsidRPr="00867DA3" w:rsidRDefault="00867DA3" w:rsidP="00867DA3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br/>
        <w:t xml:space="preserve">    [Pct.3 </w:t>
      </w:r>
      <w:proofErr w:type="spellStart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modificat</w:t>
      </w:r>
      <w:proofErr w:type="spellEnd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prin</w:t>
      </w:r>
      <w:proofErr w:type="spellEnd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HG1551 din 23.12.03, MO13-15/16.01.04 art.81]</w:t>
      </w:r>
    </w:p>
    <w:p w:rsidR="00867DA3" w:rsidRPr="00867DA3" w:rsidRDefault="00867DA3" w:rsidP="00867DA3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tînărul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specialist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refuză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7DA3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prezinte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lucru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repartizării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îşi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suspendă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înainte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expirarea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termenului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trei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, el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obligat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restituie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stat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cheltuielile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instruirea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volumul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calculat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respectivă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învăţămînt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7DA3">
        <w:rPr>
          <w:rFonts w:ascii="Times New Roman" w:eastAsia="Times New Roman" w:hAnsi="Times New Roman" w:cs="Times New Roman"/>
          <w:sz w:val="24"/>
          <w:szCs w:val="24"/>
        </w:rPr>
        <w:br/>
        <w:t>    4</w:t>
      </w:r>
      <w:r w:rsidRPr="00867D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punctului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4 al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prezentei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hotărîri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aplică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tînărul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specialist,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decurs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6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reangajează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singură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dată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instituţia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din care s-a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angajează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la o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altă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instituţie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finanţată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stat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local,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funcţie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corespunzătoare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specialităţii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obţinute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7DA3">
        <w:rPr>
          <w:rFonts w:ascii="Times New Roman" w:eastAsia="Times New Roman" w:hAnsi="Times New Roman" w:cs="Times New Roman"/>
          <w:sz w:val="24"/>
          <w:szCs w:val="24"/>
        </w:rPr>
        <w:br/>
      </w:r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lastRenderedPageBreak/>
        <w:t>    [Pct.4</w:t>
      </w:r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vertAlign w:val="superscript"/>
        </w:rPr>
        <w:t>1</w:t>
      </w:r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 </w:t>
      </w:r>
      <w:proofErr w:type="spellStart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introdus</w:t>
      </w:r>
      <w:proofErr w:type="spellEnd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prin</w:t>
      </w:r>
      <w:proofErr w:type="spellEnd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 HG854 din 14.11.12, MO237-241/16.11.12 art.918]</w:t>
      </w:r>
      <w:r w:rsidRPr="00867DA3">
        <w:rPr>
          <w:rFonts w:ascii="Times New Roman" w:eastAsia="Times New Roman" w:hAnsi="Times New Roman" w:cs="Times New Roman"/>
          <w:sz w:val="24"/>
          <w:szCs w:val="24"/>
        </w:rPr>
        <w:br/>
        <w:t xml:space="preserve">    5.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Agenţii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privaţi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angaja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tineri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specialişti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repartizaţi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anterior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sectorul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public,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primii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trei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restitui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integral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instituţiei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învăţămînt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cheltuielile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aferente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formării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cînd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aceştia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nu le-au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achitat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personal.</w:t>
      </w:r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br/>
        <w:t xml:space="preserve">    [Pct.5 </w:t>
      </w:r>
      <w:proofErr w:type="spellStart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modificat</w:t>
      </w:r>
      <w:proofErr w:type="spellEnd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prin</w:t>
      </w:r>
      <w:proofErr w:type="spellEnd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HG433 din 25.04.06, MO70-72/05.05.06 art.476]</w:t>
      </w:r>
    </w:p>
    <w:p w:rsidR="00867DA3" w:rsidRPr="00867DA3" w:rsidRDefault="00867DA3" w:rsidP="00867DA3">
      <w:pPr>
        <w:spacing w:after="0" w:line="240" w:lineRule="auto"/>
        <w:ind w:firstLine="282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67DA3" w:rsidRPr="00867DA3" w:rsidRDefault="00867DA3" w:rsidP="00867DA3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Învăţămîntului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comun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Economiei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Protecţiei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Finanţelor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Sănătăţii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Justiţiei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elabora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aproba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pînă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la 15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2001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plasarea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cîmpul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absolvenţilor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instituţiilor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învăţămînt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superior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br/>
        <w:t xml:space="preserve">    [Pct.6 </w:t>
      </w:r>
      <w:proofErr w:type="spellStart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modificat</w:t>
      </w:r>
      <w:proofErr w:type="spellEnd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prin</w:t>
      </w:r>
      <w:proofErr w:type="spellEnd"/>
      <w:r w:rsidRPr="00867DA3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HG1551 din 23.12.03, MO13-15/16.01.04 art.81]</w:t>
      </w:r>
    </w:p>
    <w:p w:rsidR="00867DA3" w:rsidRPr="00867DA3" w:rsidRDefault="00867DA3" w:rsidP="00867DA3">
      <w:pPr>
        <w:spacing w:after="24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7. Se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abrogă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Hotărîrea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Republicii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Moldova nr.447 din 19.11.1990 "Cu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plasarea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cîmpul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absolvenţilor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instituţiilor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învăţămînt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superior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pct.13 al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Hotărîrii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Republicii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Moldova nr.309 din 17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1995 "Cu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Nomenclatorul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specialităţilor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pregătirea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instituţiile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învăţămînt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Republica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Moldova cu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finanţare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bugetul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de stat" (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867DA3">
        <w:rPr>
          <w:rFonts w:ascii="Times New Roman" w:eastAsia="Times New Roman" w:hAnsi="Times New Roman" w:cs="Times New Roman"/>
          <w:sz w:val="24"/>
          <w:szCs w:val="24"/>
        </w:rPr>
        <w:t>Republicii</w:t>
      </w:r>
      <w:proofErr w:type="spellEnd"/>
      <w:r w:rsidRPr="00867DA3">
        <w:rPr>
          <w:rFonts w:ascii="Times New Roman" w:eastAsia="Times New Roman" w:hAnsi="Times New Roman" w:cs="Times New Roman"/>
          <w:sz w:val="24"/>
          <w:szCs w:val="24"/>
        </w:rPr>
        <w:t xml:space="preserve"> Moldova, 1995, nr.31-32, art.255).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Prim-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ministru</w:t>
      </w:r>
      <w:proofErr w:type="spellEnd"/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al</w:t>
      </w:r>
      <w:proofErr w:type="gram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Republicii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Moldova                                                  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Vasile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TARLEV</w:t>
      </w:r>
    </w:p>
    <w:p w:rsidR="00867DA3" w:rsidRPr="00867DA3" w:rsidRDefault="00867DA3" w:rsidP="00867D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Contrasemnată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: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Viceprim-ministru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,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proofErr w:type="gram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ministrul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economiei                                                         Andrei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Cucu</w:t>
      </w:r>
      <w:proofErr w:type="spellEnd"/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Ministrul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învăţămîntului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Ilie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Vancea</w:t>
      </w:r>
      <w:proofErr w:type="spellEnd"/>
    </w:p>
    <w:p w:rsidR="00867DA3" w:rsidRPr="00867DA3" w:rsidRDefault="00867DA3" w:rsidP="00867DA3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Ministrul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justiţiei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                                                            Ion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Morei</w:t>
      </w:r>
      <w:proofErr w:type="spellEnd"/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proofErr w:type="gram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Chişinău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, 4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septembrie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2001.</w:t>
      </w:r>
      <w:proofErr w:type="gramEnd"/>
    </w:p>
    <w:p w:rsidR="00867DA3" w:rsidRPr="00867DA3" w:rsidRDefault="00867DA3" w:rsidP="00867D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Nr. 923.</w:t>
      </w:r>
      <w:proofErr w:type="gramEnd"/>
    </w:p>
    <w:p w:rsidR="00867DA3" w:rsidRPr="00867DA3" w:rsidRDefault="00867DA3" w:rsidP="00867DA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Anexă</w:t>
      </w:r>
      <w:proofErr w:type="spellEnd"/>
    </w:p>
    <w:p w:rsidR="00867DA3" w:rsidRPr="00867DA3" w:rsidRDefault="00867DA3" w:rsidP="00867DA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la</w:t>
      </w:r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Hotărîrea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Guvernului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nr.923</w:t>
      </w:r>
    </w:p>
    <w:p w:rsidR="00867DA3" w:rsidRPr="00867DA3" w:rsidRDefault="00867DA3" w:rsidP="00867DA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din</w:t>
      </w:r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4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septembrie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2001</w:t>
      </w:r>
    </w:p>
    <w:p w:rsidR="00867DA3" w:rsidRPr="00867DA3" w:rsidRDefault="00867DA3" w:rsidP="00867D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Contractul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-tip</w:t>
      </w:r>
    </w:p>
    <w:p w:rsidR="00867DA3" w:rsidRPr="00867DA3" w:rsidRDefault="00867DA3" w:rsidP="00867D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proofErr w:type="gram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realizarea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studiilor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instituţiile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învăţămînt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superior </w:t>
      </w:r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mediu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specialitate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(la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zi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grupele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finanţare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bugetară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plasarea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tinerilor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specialişti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cîmpul</w:t>
      </w:r>
      <w:proofErr w:type="spellEnd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A3">
        <w:rPr>
          <w:rFonts w:ascii="Times New Roman" w:eastAsia="Times New Roman" w:hAnsi="Times New Roman" w:cs="Times New Roman"/>
          <w:b/>
          <w:bCs/>
          <w:sz w:val="24"/>
          <w:szCs w:val="24"/>
        </w:rPr>
        <w:t>muncii</w:t>
      </w:r>
      <w:proofErr w:type="spellEnd"/>
    </w:p>
    <w:p w:rsidR="00867DA3" w:rsidRPr="00867DA3" w:rsidRDefault="00867DA3" w:rsidP="00867D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" w:eastAsia="Times New Roman" w:hAnsi="Times New Roman" w:cs="Times New Roman"/>
          <w:sz w:val="24"/>
          <w:szCs w:val="24"/>
        </w:rPr>
        <w:t>nr.______      din_________</w:t>
      </w:r>
    </w:p>
    <w:p w:rsidR="00867DA3" w:rsidRPr="00867DA3" w:rsidRDefault="00867DA3" w:rsidP="00867D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I.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Părţile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contractante</w:t>
      </w:r>
      <w:proofErr w:type="spellEnd"/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învăţămînt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___________________________________________________,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                                                 </w:t>
      </w:r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(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denumirea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instituţiei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învăţămînt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)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persoana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rectorului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(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directorului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)__________________________________________,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                                                                </w:t>
      </w:r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(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numele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prenumele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)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pe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o parte,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studentul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(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elevul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)___________________________________________,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                                                              </w:t>
      </w:r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(</w:t>
      </w:r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numele</w:t>
      </w:r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prenumele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)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legitimat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(ă)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prin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________________________________________________________,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                                            </w:t>
      </w:r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(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numărul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seria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actului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identitate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domiciliul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)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sau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părintele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___________________________________________________________,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                        </w:t>
      </w:r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(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numele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prenumele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părintelui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-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pentru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studenţii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/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elevii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care nu au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atins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vîrsta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de 18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ani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)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legitimat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(ă)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prin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________________________________________________________,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                                       </w:t>
      </w:r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(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numărul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seria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actului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identitate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domiciliul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)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pe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altă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parte,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temeiul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legislaţiei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vigoare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au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încheiat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prezentul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contract,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convenind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asupra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următoarelor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</w:t>
      </w:r>
    </w:p>
    <w:p w:rsidR="00867DA3" w:rsidRPr="00867DA3" w:rsidRDefault="00867DA3" w:rsidP="00867D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II.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Obiectul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contractului</w:t>
      </w:r>
      <w:proofErr w:type="spellEnd"/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Contractul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are ca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obiect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:  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a)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organizarea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/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realizarea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studiilor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superioare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medii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specialitate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la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învăţămîntul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zi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din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bugetului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stat;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b)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plasarea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cîmpul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muncii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conform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repartizării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ministerului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subordinea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căruia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este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respectivă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învăţămînt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studentului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/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elevului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(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tînărului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specialist) care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-a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făcut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studiile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finanţare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din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bugetului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stat;</w:t>
      </w: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br/>
        <w:t xml:space="preserve">    c)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restituirea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către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tînărul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specialist 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cheltuielilor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instruire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inclusiv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bursei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acordate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stat,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cazul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nerespectării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condiţiilor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prezentului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contract.</w:t>
      </w:r>
    </w:p>
    <w:p w:rsidR="00867DA3" w:rsidRPr="00867DA3" w:rsidRDefault="00867DA3" w:rsidP="00867D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 III.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Obligaţiunile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drepturile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părţilor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contractante</w:t>
      </w:r>
      <w:proofErr w:type="spellEnd"/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3.1.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se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obligă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: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a)  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asigure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conformitate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legislaţia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vigoare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propriul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Statut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înmatricularea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instruirea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studentului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(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elevului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)______________ la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specialitatea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__________________ (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învăţămînt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zi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), cu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durata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studiilor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_________________, cu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acordarea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titlului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/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calificării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____________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eliberarea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actului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nivelul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respectiv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cu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condiţia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realizării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către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student/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elev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programului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conform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standardelor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educaţionale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pentru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nivelul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specialitatea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respectivă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;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b) 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creeze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condiţii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optime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desfăşurare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eficientă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procesului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baza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planurilor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învăţămînt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programelor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care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asigură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realizarea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standardelor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educaţionale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stat;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c) 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asigure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studentului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/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elevului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condiţii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adecvate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pentru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pregătirea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fundamentală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specialitate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care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va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permite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angajarea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muncă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condiţii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echitabile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absolvenţii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altor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;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d) 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asigure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securitatea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vieţii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sănătăţii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studentului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/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elevului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perioada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aflării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;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e) 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repartizeze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la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lucru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conform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specialităţii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studentul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(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elevul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)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întreprinderea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sau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organizaţia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stat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pînă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la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începerea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practicii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producţie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funcţie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necesităţile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statului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3.2.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Instituţia</w:t>
      </w:r>
      <w:proofErr w:type="spellEnd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are</w:t>
      </w:r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dreptul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exmatriculeze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studentul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/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elevul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condiţiile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prevăzute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actele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normative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vigoare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3.3.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Studentul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/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elevul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se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obligă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: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a) 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realizeze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termen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programul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educaţional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la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specialitatea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solicitată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;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b) 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frecventeze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regulat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orele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curs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nu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admită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absenţe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nemotivate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;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c) 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respecte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Carta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Universitară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Statutul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Regulamentul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ordine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internă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alte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acte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normative ale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instituţiei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;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d) 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lucreze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nu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mai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puţin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  3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ani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după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absolvirea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instituţiei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la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întreprinderea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sau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organizaţia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la care 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fost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repartizat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;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e) 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restituie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la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bugetul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stat,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cazul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exmatriculării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sau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neprezentării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la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locul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muncă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conform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repartizării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al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încălcării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termenului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indicat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prezentul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contract,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cheltuielile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pentru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instruirea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volumul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calculat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învăţămînt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respectivă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3.4.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Studentul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/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elevul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are</w:t>
      </w:r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dreptul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: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a) 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intervină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propuneri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argumentate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vederea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îmbunătăţirii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calităţii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serviciilor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prestate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;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b) 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pretindă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respectarea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drepturilor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libertăţilor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studentului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/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elevului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conform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legislaţiei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vigoare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;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c) 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fie ales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organele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administraţie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ale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instituţiei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;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d) 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fie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asigurat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contra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plată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conformitate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actele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normative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vigoare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cu loc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cămin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cazul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care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respectivă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dispune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acesta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;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e) 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să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participe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la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concursul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pentru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alegerea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locului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muncă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din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lista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repartizare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propusă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</w:t>
      </w:r>
    </w:p>
    <w:p w:rsidR="00867DA3" w:rsidRPr="00867DA3" w:rsidRDefault="00867DA3" w:rsidP="00867D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IV.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Rezilierea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contractului</w:t>
      </w:r>
      <w:proofErr w:type="spellEnd"/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4.1.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Prezentul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contract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poate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fi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reziliat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următoarele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cazuri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: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a)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exmatricularea</w:t>
      </w:r>
      <w:proofErr w:type="spellEnd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studentului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/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elevului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din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vina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acestuia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;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b) 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reorganizarea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reprofilarea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lichidarea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întreprinderii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instituţiei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sau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organizaţiei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care 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fost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repartizat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absolventul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ceea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determinat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reducerea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unităţii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ocupate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angajat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;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c) 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nerespectarea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către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una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dintre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părţi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condiţiilor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contractului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;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d) 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imposibilitatea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realizării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contractului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;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e) </w:t>
      </w: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alte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cazuri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acceptate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  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părţile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contractante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sau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prevăzute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legislaţie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4.2.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Părţile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informează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scris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despre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intenţia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reziliere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contractului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cel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puţin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30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zile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înainte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termenul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stabilit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pentru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desfacerea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acestuia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</w:t>
      </w:r>
    </w:p>
    <w:p w:rsidR="00867DA3" w:rsidRPr="00867DA3" w:rsidRDefault="00867DA3" w:rsidP="00867D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V.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Dispoziţii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finale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5.1.</w:t>
      </w:r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Prezentul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contract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poate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fi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modificat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numai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consimţămîntul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ambelor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părţi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faptul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modificărilor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consemnîndu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-se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într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-un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proces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-verbal sub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formă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anexă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la contract.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5.2.</w:t>
      </w:r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Refuzul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unilateral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respectare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a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condiţiilor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prezentului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contract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este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inadmisibil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cu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excepţia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cazurilor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prevăzute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legislaţia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vigoare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prezentul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contract.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5.3.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Litigiile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apărute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între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părţile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contractante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vor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fi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soluţionate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cale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amiabilă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conformitate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cu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legislaţia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vigoare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5.4.</w:t>
      </w:r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Prezentul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contract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intră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vigoare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din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momentul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semnării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de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către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părţi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este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valabil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pînă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la.</w:t>
      </w:r>
    </w:p>
    <w:p w:rsidR="00867DA3" w:rsidRPr="00867DA3" w:rsidRDefault="00867DA3" w:rsidP="00867D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5.5.</w:t>
      </w:r>
      <w:proofErr w:type="gram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Contractul</w:t>
      </w:r>
      <w:proofErr w:type="spellEnd"/>
      <w:proofErr w:type="gram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este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perfectat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trei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exemplare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,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fiecare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dintre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ele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avînd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aceeaşi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putere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juridică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.</w:t>
      </w:r>
    </w:p>
    <w:p w:rsidR="00867DA3" w:rsidRPr="00867DA3" w:rsidRDefault="00867DA3" w:rsidP="00867D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Adresele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juridice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şi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semnăturile</w:t>
      </w:r>
      <w:proofErr w:type="spellEnd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b/>
          <w:bCs/>
          <w:color w:val="000000"/>
          <w:sz w:val="24"/>
          <w:szCs w:val="24"/>
        </w:rPr>
        <w:t>părţilor</w:t>
      </w:r>
      <w:proofErr w:type="spellEnd"/>
    </w:p>
    <w:p w:rsidR="00867DA3" w:rsidRPr="00867DA3" w:rsidRDefault="00867DA3" w:rsidP="00867D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Instituţia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 xml:space="preserve">                                           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Studentul</w:t>
      </w:r>
      <w:proofErr w:type="spellEnd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/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elevul</w:t>
      </w:r>
      <w:proofErr w:type="spellEnd"/>
    </w:p>
    <w:p w:rsidR="00867DA3" w:rsidRPr="00867DA3" w:rsidRDefault="00867DA3" w:rsidP="00867D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___________________        _________________</w:t>
      </w:r>
    </w:p>
    <w:p w:rsidR="00867DA3" w:rsidRPr="00867DA3" w:rsidRDefault="00867DA3" w:rsidP="00867D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___________________        _________________</w:t>
      </w:r>
    </w:p>
    <w:p w:rsidR="00867DA3" w:rsidRPr="00867DA3" w:rsidRDefault="00867DA3" w:rsidP="00867D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___________________        _________________</w:t>
      </w:r>
    </w:p>
    <w:p w:rsidR="00867DA3" w:rsidRPr="00867DA3" w:rsidRDefault="00867DA3" w:rsidP="00867D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                      </w:t>
      </w:r>
      <w:proofErr w:type="spellStart"/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Părinţii</w:t>
      </w:r>
      <w:proofErr w:type="spellEnd"/>
    </w:p>
    <w:p w:rsidR="00867DA3" w:rsidRPr="00867DA3" w:rsidRDefault="00867DA3" w:rsidP="00867D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            _________________</w:t>
      </w:r>
    </w:p>
    <w:p w:rsidR="00867DA3" w:rsidRPr="00867DA3" w:rsidRDefault="00867DA3" w:rsidP="00867D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            _________________</w:t>
      </w:r>
    </w:p>
    <w:p w:rsidR="00867DA3" w:rsidRPr="00867DA3" w:rsidRDefault="00867DA3" w:rsidP="00867D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color w:val="000000"/>
          <w:sz w:val="24"/>
          <w:szCs w:val="24"/>
        </w:rPr>
        <w:t>              _________________</w:t>
      </w:r>
    </w:p>
    <w:p w:rsidR="00867DA3" w:rsidRPr="00867DA3" w:rsidRDefault="00867DA3" w:rsidP="00867DA3">
      <w:pPr>
        <w:spacing w:after="0" w:line="240" w:lineRule="auto"/>
        <w:ind w:firstLine="28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>[</w:t>
      </w:r>
      <w:proofErr w:type="spellStart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>Anexa</w:t>
      </w:r>
      <w:proofErr w:type="spellEnd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>în</w:t>
      </w:r>
      <w:proofErr w:type="spellEnd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 xml:space="preserve"> </w:t>
      </w:r>
      <w:proofErr w:type="spellStart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>redacţia</w:t>
      </w:r>
      <w:proofErr w:type="spellEnd"/>
      <w:r w:rsidRPr="00867DA3">
        <w:rPr>
          <w:rFonts w:ascii="Times New Roman CE" w:eastAsia="Times New Roman" w:hAnsi="Times New Roman CE" w:cs="Times New Roman CE"/>
          <w:i/>
          <w:iCs/>
          <w:color w:val="0000FF"/>
          <w:sz w:val="24"/>
          <w:szCs w:val="24"/>
        </w:rPr>
        <w:t xml:space="preserve"> HG433 din 25.04.06, MO70-72/05.05.06 art.476]</w:t>
      </w:r>
    </w:p>
    <w:p w:rsidR="00F50A55" w:rsidRDefault="00F50A55"/>
    <w:sectPr w:rsidR="00F50A55" w:rsidSect="00F5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E"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67DA3"/>
    <w:rsid w:val="00867DA3"/>
    <w:rsid w:val="00F5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7DA3"/>
    <w:rPr>
      <w:b/>
      <w:bCs/>
    </w:rPr>
  </w:style>
  <w:style w:type="character" w:customStyle="1" w:styleId="apple-converted-space">
    <w:name w:val="apple-converted-space"/>
    <w:basedOn w:val="DefaultParagraphFont"/>
    <w:rsid w:val="00867DA3"/>
  </w:style>
  <w:style w:type="character" w:customStyle="1" w:styleId="docheader">
    <w:name w:val="doc_header"/>
    <w:basedOn w:val="DefaultParagraphFont"/>
    <w:rsid w:val="00867DA3"/>
  </w:style>
  <w:style w:type="character" w:customStyle="1" w:styleId="docblue">
    <w:name w:val="doc_blue"/>
    <w:basedOn w:val="DefaultParagraphFont"/>
    <w:rsid w:val="00867DA3"/>
  </w:style>
  <w:style w:type="character" w:customStyle="1" w:styleId="docsign1">
    <w:name w:val="doc_sign1"/>
    <w:basedOn w:val="DefaultParagraphFont"/>
    <w:rsid w:val="00867DA3"/>
  </w:style>
  <w:style w:type="paragraph" w:styleId="BalloonText">
    <w:name w:val="Balloon Text"/>
    <w:basedOn w:val="Normal"/>
    <w:link w:val="BalloonTextChar"/>
    <w:uiPriority w:val="99"/>
    <w:semiHidden/>
    <w:unhideWhenUsed/>
    <w:rsid w:val="0086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x.justice.md/document_rom.php?id=2CBE18C3:54E8D0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lex.justice.md/document_rom.php?id=DCEDD931:07C71CFE" TargetMode="External"/><Relationship Id="rId4" Type="http://schemas.openxmlformats.org/officeDocument/2006/relationships/hyperlink" Target="http://lex.justice.md/md/34548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9650</Characters>
  <Application>Microsoft Office Word</Application>
  <DocSecurity>0</DocSecurity>
  <Lines>80</Lines>
  <Paragraphs>22</Paragraphs>
  <ScaleCrop>false</ScaleCrop>
  <Company/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USACI DOINA</dc:creator>
  <cp:lastModifiedBy>USACI DOINA</cp:lastModifiedBy>
  <cp:revision>1</cp:revision>
  <dcterms:created xsi:type="dcterms:W3CDTF">2014-09-08T07:16:00Z</dcterms:created>
  <dcterms:modified xsi:type="dcterms:W3CDTF">2014-09-08T07:17:00Z</dcterms:modified>
</cp:coreProperties>
</file>