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43" w:rsidRDefault="00F42EF3">
      <w:r w:rsidRPr="00F42EF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206\Desktop\Procedură Monit. program. de stud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6\Desktop\Procedură Monit. program. de studi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F3" w:rsidRDefault="00F42EF3"/>
    <w:p w:rsidR="00F42EF3" w:rsidRDefault="00F42EF3"/>
    <w:p w:rsidR="00F42EF3" w:rsidRDefault="00F42EF3"/>
    <w:p w:rsidR="00F42EF3" w:rsidRDefault="00F42EF3">
      <w:r w:rsidRPr="00F42EF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206\Desktop\monit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6\Desktop\monit.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F3" w:rsidRDefault="00F42EF3"/>
    <w:p w:rsidR="00F42EF3" w:rsidRDefault="00F42EF3"/>
    <w:p w:rsidR="00F42EF3" w:rsidRDefault="00F42EF3"/>
    <w:p w:rsidR="00F42EF3" w:rsidRDefault="00F42EF3">
      <w:r w:rsidRPr="00F42EF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206\Desktop\monit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6\Desktop\monit.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F3" w:rsidRDefault="00F42EF3"/>
    <w:p w:rsidR="00F42EF3" w:rsidRDefault="00F42EF3"/>
    <w:p w:rsidR="00F42EF3" w:rsidRDefault="00F42EF3"/>
    <w:p w:rsidR="00F42EF3" w:rsidRDefault="00F42EF3" w:rsidP="00F42EF3">
      <w:pPr>
        <w:pStyle w:val="cn"/>
        <w:spacing w:line="276" w:lineRule="auto"/>
        <w:rPr>
          <w:b/>
          <w:bCs/>
          <w:lang w:val="ro-RO"/>
        </w:rPr>
      </w:pPr>
    </w:p>
    <w:p w:rsidR="00F42EF3" w:rsidRPr="00F61A91" w:rsidRDefault="00F42EF3" w:rsidP="00F42EF3">
      <w:pPr>
        <w:pStyle w:val="cn"/>
        <w:spacing w:line="276" w:lineRule="auto"/>
        <w:rPr>
          <w:b/>
          <w:bCs/>
          <w:lang w:val="ro-RO"/>
        </w:rPr>
      </w:pPr>
      <w:r w:rsidRPr="00F61A91">
        <w:rPr>
          <w:b/>
          <w:bCs/>
          <w:lang w:val="ro-RO"/>
        </w:rPr>
        <w:t>UNIVERSITATEA DE STAT „BOGDAN PETRICEICU HASDEU”</w:t>
      </w:r>
    </w:p>
    <w:p w:rsidR="00F42EF3" w:rsidRPr="00F61A91" w:rsidRDefault="00F42EF3" w:rsidP="00F42EF3">
      <w:pPr>
        <w:pStyle w:val="cn"/>
        <w:spacing w:line="276" w:lineRule="auto"/>
        <w:rPr>
          <w:b/>
          <w:bCs/>
          <w:lang w:val="ro-RO"/>
        </w:rPr>
      </w:pPr>
      <w:r w:rsidRPr="00F61A91">
        <w:rPr>
          <w:b/>
          <w:bCs/>
          <w:lang w:val="ro-RO"/>
        </w:rPr>
        <w:t xml:space="preserve"> DIN CAHUL</w:t>
      </w:r>
    </w:p>
    <w:tbl>
      <w:tblPr>
        <w:tblpPr w:leftFromText="180" w:rightFromText="180" w:vertAnchor="text" w:horzAnchor="margin" w:tblpXSpec="center" w:tblpY="181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166"/>
      </w:tblGrid>
      <w:tr w:rsidR="00F42EF3" w:rsidRPr="00F61A91" w:rsidTr="00142E6D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764B6FC" wp14:editId="6DCCE3EB">
                  <wp:extent cx="1247775" cy="1240272"/>
                  <wp:effectExtent l="0" t="0" r="0" b="0"/>
                  <wp:docPr id="4" name="Рисунок 4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b/>
              </w:rPr>
              <w:t>MANUALUL DE PROCEDURI SPECIFICE ŞI DE SISTEM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COD: P-AC-0</w:t>
            </w:r>
            <w:r>
              <w:rPr>
                <w:rStyle w:val="FontStyle215"/>
                <w:sz w:val="24"/>
                <w:szCs w:val="24"/>
                <w:lang w:val="ro-RO" w:eastAsia="ro-RO"/>
              </w:rPr>
              <w:t>1</w:t>
            </w:r>
          </w:p>
        </w:tc>
      </w:tr>
      <w:tr w:rsidR="00F42EF3" w:rsidRPr="00F61A91" w:rsidTr="00142E6D">
        <w:trPr>
          <w:trHeight w:val="1557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Procedură de asigurare a calității privind INIŢIEREA, APROBAREA, MONITORIZAREA ŞI EVALUAREA</w:t>
            </w:r>
            <w:r>
              <w:rPr>
                <w:rStyle w:val="FontStyle215"/>
                <w:sz w:val="24"/>
                <w:szCs w:val="24"/>
                <w:lang w:val="ro-RO" w:eastAsia="ro-RO"/>
              </w:rPr>
              <w:t xml:space="preserve"> </w:t>
            </w: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PERIODICA A PROGRAMELOR DE STUDII (CICLUL I, II, FORMARE PROFESIONALĂ CONTINUĂ)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Ed. / Rev.</w:t>
            </w:r>
          </w:p>
          <w:p w:rsidR="00F42EF3" w:rsidRPr="00F61A91" w:rsidRDefault="00F42EF3" w:rsidP="00142E6D">
            <w:pPr>
              <w:pStyle w:val="Style113"/>
              <w:spacing w:line="276" w:lineRule="auto"/>
              <w:ind w:left="475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 xml:space="preserve">      1 / 0</w:t>
            </w:r>
          </w:p>
        </w:tc>
      </w:tr>
    </w:tbl>
    <w:p w:rsidR="00F42EF3" w:rsidRDefault="00F42EF3" w:rsidP="00F42EF3">
      <w:pPr>
        <w:pStyle w:val="Style6"/>
        <w:widowControl/>
        <w:spacing w:line="276" w:lineRule="auto"/>
        <w:rPr>
          <w:rStyle w:val="FontStyle215"/>
          <w:sz w:val="24"/>
          <w:szCs w:val="24"/>
          <w:lang w:val="ro-RO" w:eastAsia="ro-RO"/>
        </w:rPr>
      </w:pPr>
    </w:p>
    <w:p w:rsidR="00F42EF3" w:rsidRPr="00F61A91" w:rsidRDefault="00F42EF3" w:rsidP="00F42EF3">
      <w:pPr>
        <w:pStyle w:val="Style6"/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lang w:val="ro-RO" w:eastAsia="ro-RO"/>
        </w:rPr>
      </w:pPr>
      <w:r w:rsidRPr="00F61A91">
        <w:rPr>
          <w:rStyle w:val="FontStyle215"/>
          <w:sz w:val="24"/>
          <w:szCs w:val="24"/>
          <w:lang w:val="ro-RO" w:eastAsia="ro-RO"/>
        </w:rPr>
        <w:t>SCOPUL PROCEDURII:</w:t>
      </w:r>
    </w:p>
    <w:p w:rsidR="00F42EF3" w:rsidRPr="00F61A91" w:rsidRDefault="00F42EF3" w:rsidP="00F42EF3">
      <w:pPr>
        <w:pStyle w:val="Style11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61A91">
        <w:rPr>
          <w:rFonts w:ascii="Times New Roman" w:hAnsi="Times New Roman" w:cs="Times New Roman"/>
        </w:rPr>
        <w:t>Scopul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acestei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proceduri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constă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în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reglementarea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procesului</w:t>
      </w:r>
      <w:proofErr w:type="spellEnd"/>
      <w:r w:rsidRPr="00F61A91">
        <w:rPr>
          <w:rFonts w:ascii="Times New Roman" w:hAnsi="Times New Roman" w:cs="Times New Roman"/>
        </w:rPr>
        <w:t xml:space="preserve"> de </w:t>
      </w:r>
      <w:r w:rsidRPr="00F61A91">
        <w:rPr>
          <w:rFonts w:ascii="Times New Roman" w:hAnsi="Times New Roman" w:cs="Times New Roman"/>
          <w:lang w:val="ro-RO"/>
        </w:rPr>
        <w:t xml:space="preserve">inițiere, </w:t>
      </w:r>
      <w:r w:rsidRPr="00F61A91">
        <w:rPr>
          <w:rStyle w:val="FontStyle215"/>
          <w:b w:val="0"/>
          <w:sz w:val="24"/>
          <w:szCs w:val="24"/>
          <w:lang w:val="ro-RO" w:eastAsia="ro-RO"/>
        </w:rPr>
        <w:t xml:space="preserve">aprobare, monitorizare </w:t>
      </w:r>
      <w:proofErr w:type="spellStart"/>
      <w:r w:rsidRPr="00F61A91">
        <w:rPr>
          <w:rStyle w:val="FontStyle215"/>
          <w:b w:val="0"/>
          <w:sz w:val="24"/>
          <w:szCs w:val="24"/>
          <w:lang w:val="ro-RO" w:eastAsia="ro-RO"/>
        </w:rPr>
        <w:t>şi</w:t>
      </w:r>
      <w:proofErr w:type="spellEnd"/>
      <w:r w:rsidRPr="00F61A91">
        <w:rPr>
          <w:rStyle w:val="FontStyle215"/>
          <w:b w:val="0"/>
          <w:sz w:val="24"/>
          <w:szCs w:val="24"/>
          <w:lang w:val="ro-RO" w:eastAsia="ro-RO"/>
        </w:rPr>
        <w:t xml:space="preserve"> evaluare periodică a programelor de studii (Ciclul I, Ciclul II, Formare Profesională Continuă)</w:t>
      </w:r>
      <w:r w:rsidRPr="00F61A91">
        <w:rPr>
          <w:rStyle w:val="FontStyle215"/>
          <w:sz w:val="24"/>
          <w:szCs w:val="24"/>
          <w:lang w:val="ro-RO" w:eastAsia="ro-RO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şi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stabilirea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competenţelor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şi</w:t>
      </w:r>
      <w:proofErr w:type="spellEnd"/>
      <w:r w:rsidRPr="00F61A91">
        <w:rPr>
          <w:rFonts w:ascii="Times New Roman" w:hAnsi="Times New Roman" w:cs="Times New Roman"/>
        </w:rPr>
        <w:t xml:space="preserve"> a </w:t>
      </w:r>
      <w:proofErr w:type="spellStart"/>
      <w:r w:rsidRPr="00F61A91">
        <w:rPr>
          <w:rFonts w:ascii="Times New Roman" w:hAnsi="Times New Roman" w:cs="Times New Roman"/>
        </w:rPr>
        <w:t>responsabilităţilor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persoanelor</w:t>
      </w:r>
      <w:proofErr w:type="spellEnd"/>
      <w:r w:rsidRPr="00F61A91">
        <w:rPr>
          <w:rFonts w:ascii="Times New Roman" w:hAnsi="Times New Roman" w:cs="Times New Roman"/>
        </w:rPr>
        <w:t xml:space="preserve"> </w:t>
      </w:r>
      <w:proofErr w:type="spellStart"/>
      <w:r w:rsidRPr="00F61A91">
        <w:rPr>
          <w:rFonts w:ascii="Times New Roman" w:hAnsi="Times New Roman" w:cs="Times New Roman"/>
        </w:rPr>
        <w:t>participante</w:t>
      </w:r>
      <w:proofErr w:type="spellEnd"/>
      <w:r w:rsidRPr="00F61A91">
        <w:rPr>
          <w:rFonts w:ascii="Times New Roman" w:hAnsi="Times New Roman" w:cs="Times New Roman"/>
        </w:rPr>
        <w:t xml:space="preserve"> la </w:t>
      </w:r>
      <w:proofErr w:type="spellStart"/>
      <w:r w:rsidRPr="00F61A91">
        <w:rPr>
          <w:rFonts w:ascii="Times New Roman" w:hAnsi="Times New Roman" w:cs="Times New Roman"/>
        </w:rPr>
        <w:t>elaborare</w:t>
      </w:r>
      <w:proofErr w:type="spellEnd"/>
      <w:r w:rsidRPr="00F61A91">
        <w:rPr>
          <w:rFonts w:ascii="Times New Roman" w:hAnsi="Times New Roman" w:cs="Times New Roman"/>
        </w:rPr>
        <w:t>.</w:t>
      </w:r>
    </w:p>
    <w:p w:rsidR="00F42EF3" w:rsidRPr="00B43B3F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lang w:val="ro-RO"/>
        </w:rPr>
      </w:pPr>
      <w:r w:rsidRPr="00B43B3F">
        <w:rPr>
          <w:rFonts w:ascii="Times New Roman" w:hAnsi="Times New Roman" w:cs="Times New Roman"/>
          <w:sz w:val="24"/>
          <w:szCs w:val="24"/>
          <w:lang w:val="ro-RO"/>
        </w:rPr>
        <w:t xml:space="preserve">Precizează algoritmul </w:t>
      </w:r>
      <w:proofErr w:type="spellStart"/>
      <w:r w:rsidRPr="00B43B3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43B3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43B3F">
        <w:rPr>
          <w:rFonts w:ascii="Times New Roman" w:hAnsi="Times New Roman" w:cs="Times New Roman"/>
          <w:sz w:val="24"/>
          <w:szCs w:val="24"/>
          <w:lang w:val="ro-RO"/>
        </w:rPr>
        <w:t>responsabilităţile</w:t>
      </w:r>
      <w:proofErr w:type="spellEnd"/>
      <w:r w:rsidRPr="00B43B3F">
        <w:rPr>
          <w:rFonts w:ascii="Times New Roman" w:hAnsi="Times New Roman" w:cs="Times New Roman"/>
          <w:sz w:val="24"/>
          <w:szCs w:val="24"/>
          <w:lang w:val="ro-RO"/>
        </w:rPr>
        <w:t xml:space="preserve"> privind inițierea, aprobarea, monitorizarea </w:t>
      </w:r>
      <w:proofErr w:type="spellStart"/>
      <w:r w:rsidRPr="00B43B3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43B3F">
        <w:rPr>
          <w:rFonts w:ascii="Times New Roman" w:hAnsi="Times New Roman" w:cs="Times New Roman"/>
          <w:sz w:val="24"/>
          <w:szCs w:val="24"/>
          <w:lang w:val="ro-RO"/>
        </w:rPr>
        <w:t xml:space="preserve"> evaluarea periodică a programelor de studii. </w:t>
      </w:r>
    </w:p>
    <w:p w:rsidR="00F42EF3" w:rsidRPr="00F61A91" w:rsidRDefault="00F42EF3" w:rsidP="00F42EF3">
      <w:pPr>
        <w:pStyle w:val="Style113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42EF3" w:rsidRPr="00F61A91" w:rsidRDefault="00F42EF3" w:rsidP="00F42EF3">
      <w:pPr>
        <w:pStyle w:val="Style11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61A91">
        <w:rPr>
          <w:rFonts w:ascii="Times New Roman" w:hAnsi="Times New Roman" w:cs="Times New Roman"/>
          <w:b/>
        </w:rPr>
        <w:t>DOMENIU DE APLICARE</w:t>
      </w:r>
    </w:p>
    <w:p w:rsidR="00F42EF3" w:rsidRDefault="00F42EF3" w:rsidP="00F42EF3">
      <w:pPr>
        <w:pStyle w:val="Style11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61A91">
        <w:rPr>
          <w:rStyle w:val="Bodytext"/>
          <w:rFonts w:ascii="Times New Roman" w:hAnsi="Times New Roman" w:cs="Times New Roman"/>
          <w:lang w:val="ro-RO"/>
        </w:rPr>
        <w:t xml:space="preserve">Procedura se utilizează de către toate structurile organizatorice a </w:t>
      </w:r>
      <w:proofErr w:type="spellStart"/>
      <w:r w:rsidRPr="00F61A91">
        <w:rPr>
          <w:rFonts w:ascii="Times New Roman" w:hAnsi="Times New Roman" w:cs="Times New Roman"/>
        </w:rPr>
        <w:t>Universității</w:t>
      </w:r>
      <w:proofErr w:type="spellEnd"/>
      <w:r w:rsidRPr="00F61A91">
        <w:rPr>
          <w:rFonts w:ascii="Times New Roman" w:hAnsi="Times New Roman" w:cs="Times New Roman"/>
        </w:rPr>
        <w:t xml:space="preserve"> de Stat „B. P. </w:t>
      </w:r>
      <w:proofErr w:type="spellStart"/>
      <w:r w:rsidRPr="00F61A91">
        <w:rPr>
          <w:rFonts w:ascii="Times New Roman" w:hAnsi="Times New Roman" w:cs="Times New Roman"/>
        </w:rPr>
        <w:t>Hasdeu</w:t>
      </w:r>
      <w:proofErr w:type="spellEnd"/>
      <w:r w:rsidRPr="00F61A91">
        <w:rPr>
          <w:rFonts w:ascii="Times New Roman" w:hAnsi="Times New Roman" w:cs="Times New Roman"/>
        </w:rPr>
        <w:t xml:space="preserve">” din </w:t>
      </w:r>
      <w:proofErr w:type="spellStart"/>
      <w:r w:rsidRPr="00F61A91">
        <w:rPr>
          <w:rFonts w:ascii="Times New Roman" w:hAnsi="Times New Roman" w:cs="Times New Roman"/>
        </w:rPr>
        <w:t>Cahul</w:t>
      </w:r>
      <w:proofErr w:type="spellEnd"/>
      <w:r w:rsidRPr="00F61A91">
        <w:rPr>
          <w:rStyle w:val="Bodytext"/>
          <w:rFonts w:ascii="Times New Roman" w:hAnsi="Times New Roman" w:cs="Times New Roman"/>
          <w:lang w:val="ro-RO"/>
        </w:rPr>
        <w:t xml:space="preserve">, responsabile cu </w:t>
      </w:r>
      <w:proofErr w:type="spellStart"/>
      <w:r w:rsidRPr="00F61A91">
        <w:rPr>
          <w:rFonts w:ascii="Times New Roman" w:hAnsi="Times New Roman" w:cs="Times New Roman"/>
          <w:lang w:val="ro-RO"/>
        </w:rPr>
        <w:t>iniţierea</w:t>
      </w:r>
      <w:proofErr w:type="spellEnd"/>
      <w:r w:rsidRPr="00F61A91">
        <w:rPr>
          <w:rFonts w:ascii="Times New Roman" w:hAnsi="Times New Roman" w:cs="Times New Roman"/>
          <w:lang w:val="ro-RO"/>
        </w:rPr>
        <w:t xml:space="preserve">, aprobarea, monitorizarea </w:t>
      </w:r>
      <w:proofErr w:type="spellStart"/>
      <w:r w:rsidRPr="00F61A91">
        <w:rPr>
          <w:rFonts w:ascii="Times New Roman" w:hAnsi="Times New Roman" w:cs="Times New Roman"/>
          <w:lang w:val="ro-RO"/>
        </w:rPr>
        <w:t>şi</w:t>
      </w:r>
      <w:proofErr w:type="spellEnd"/>
      <w:r w:rsidRPr="00F61A91">
        <w:rPr>
          <w:rFonts w:ascii="Times New Roman" w:hAnsi="Times New Roman" w:cs="Times New Roman"/>
          <w:lang w:val="ro-RO"/>
        </w:rPr>
        <w:t xml:space="preserve"> evaluarea periodică a programelor de studii</w:t>
      </w:r>
      <w:r w:rsidRPr="00F61A91">
        <w:rPr>
          <w:rStyle w:val="Bodytext"/>
          <w:rFonts w:ascii="Times New Roman" w:hAnsi="Times New Roman" w:cs="Times New Roman"/>
          <w:lang w:val="ro-RO"/>
        </w:rPr>
        <w:t>.</w:t>
      </w:r>
    </w:p>
    <w:p w:rsidR="00F42EF3" w:rsidRPr="00F61A91" w:rsidRDefault="00F42EF3" w:rsidP="00F42EF3">
      <w:pPr>
        <w:pStyle w:val="Style11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61A91">
        <w:rPr>
          <w:rFonts w:ascii="Times New Roman" w:hAnsi="Times New Roman" w:cs="Times New Roman"/>
          <w:b/>
        </w:rPr>
        <w:t>DEFINIŢII ŞI ABREVIERI</w:t>
      </w:r>
    </w:p>
    <w:p w:rsidR="00F42EF3" w:rsidRPr="00F61A91" w:rsidRDefault="00F42EF3" w:rsidP="00F42EF3">
      <w:pPr>
        <w:pStyle w:val="Style11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F61A91">
        <w:rPr>
          <w:rFonts w:ascii="Times New Roman" w:hAnsi="Times New Roman" w:cs="Times New Roman"/>
          <w:b/>
        </w:rPr>
        <w:t>Definiții</w:t>
      </w:r>
      <w:proofErr w:type="spellEnd"/>
      <w:r w:rsidRPr="00F61A91">
        <w:rPr>
          <w:rFonts w:ascii="Times New Roman" w:hAnsi="Times New Roman" w:cs="Times New Roman"/>
          <w:b/>
        </w:rPr>
        <w:t xml:space="preserve"> </w:t>
      </w:r>
    </w:p>
    <w:p w:rsidR="00F42EF3" w:rsidRPr="00F61A91" w:rsidRDefault="00F42EF3" w:rsidP="00F42EF3">
      <w:pPr>
        <w:spacing w:after="0" w:line="276" w:lineRule="auto"/>
        <w:ind w:firstLine="640"/>
        <w:jc w:val="both"/>
        <w:rPr>
          <w:rStyle w:val="Bodytext"/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61A91">
        <w:rPr>
          <w:rFonts w:ascii="Times New Roman" w:hAnsi="Times New Roman" w:cs="Times New Roman"/>
          <w:b/>
          <w:i/>
          <w:sz w:val="24"/>
          <w:szCs w:val="24"/>
          <w:lang w:val="en-US"/>
        </w:rPr>
        <w:t>Facultate</w:t>
      </w:r>
      <w:proofErr w:type="spellEnd"/>
      <w:r w:rsidRPr="00F61A9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unitatea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funcțională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didactico-științifică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a USC, care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își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desfășoară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Cartei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universitare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instrucțiunilor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USC (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regulamente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hotărâri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ordine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dispoziții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reglatorii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Cercetării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care elaborează </w:t>
      </w:r>
      <w:proofErr w:type="spellStart"/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 gestionează programele de studii.</w:t>
      </w:r>
    </w:p>
    <w:p w:rsidR="00F42EF3" w:rsidRPr="00F61A91" w:rsidRDefault="00F42EF3" w:rsidP="00F42EF3">
      <w:pPr>
        <w:spacing w:after="0" w:line="276" w:lineRule="auto"/>
        <w:ind w:firstLine="6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1A91">
        <w:rPr>
          <w:rStyle w:val="Bodytext"/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Departament / catedră </w:t>
      </w:r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>– unitate academică funcțională</w:t>
      </w:r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asigură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producerea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valorificarea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cunoașterii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unul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domenii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la un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înalt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didactice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en-US"/>
        </w:rPr>
        <w:t>științifice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2EF3" w:rsidRDefault="00F42EF3" w:rsidP="00F42EF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1A91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F61A9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lan de </w:t>
      </w:r>
      <w:proofErr w:type="spellStart"/>
      <w:r w:rsidRPr="00F61A91">
        <w:rPr>
          <w:rFonts w:ascii="Times New Roman" w:hAnsi="Times New Roman" w:cs="Times New Roman"/>
          <w:b/>
          <w:i/>
          <w:sz w:val="24"/>
          <w:szCs w:val="24"/>
          <w:lang w:val="ro-RO"/>
        </w:rPr>
        <w:t>învăţământ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- sistem de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de formare profesională și de cercetare științifică a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specialiştilor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pentru diverse domenii ale economiei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naţionale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, reunite într-o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concepţie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unitară din punct de vedere al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conţinutului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acestora în timp.</w:t>
      </w:r>
    </w:p>
    <w:p w:rsidR="00F42EF3" w:rsidRPr="00F61A91" w:rsidRDefault="00F42EF3" w:rsidP="00F42E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1A9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Specialitate / program de studii</w:t>
      </w:r>
      <w:r w:rsidRPr="00F61A9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– complex de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competenţe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profesionale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prin instruire într-un anumit domeniu de formare profesională.</w:t>
      </w:r>
    </w:p>
    <w:p w:rsidR="00F42EF3" w:rsidRPr="00F61A91" w:rsidRDefault="00F42EF3" w:rsidP="00F42EF3">
      <w:pPr>
        <w:spacing w:after="0" w:line="276" w:lineRule="auto"/>
        <w:ind w:firstLine="720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F61A91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proofErr w:type="spellStart"/>
      <w:r w:rsidRPr="00F61A91">
        <w:rPr>
          <w:rFonts w:ascii="Times New Roman" w:hAnsi="Times New Roman" w:cs="Times New Roman"/>
          <w:b/>
          <w:i/>
          <w:sz w:val="24"/>
          <w:szCs w:val="24"/>
          <w:lang w:val="ro-RO"/>
        </w:rPr>
        <w:t>urriculumul</w:t>
      </w:r>
      <w:proofErr w:type="spellEnd"/>
      <w:r w:rsidRPr="00F61A9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în </w:t>
      </w:r>
      <w:proofErr w:type="spellStart"/>
      <w:r w:rsidRPr="00F61A91">
        <w:rPr>
          <w:rFonts w:ascii="Times New Roman" w:hAnsi="Times New Roman" w:cs="Times New Roman"/>
          <w:b/>
          <w:i/>
          <w:sz w:val="24"/>
          <w:szCs w:val="24"/>
          <w:lang w:val="ro-RO"/>
        </w:rPr>
        <w:t>învăţământul</w:t>
      </w:r>
      <w:proofErr w:type="spellEnd"/>
      <w:r w:rsidRPr="00F61A9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superior</w:t>
      </w:r>
      <w:r w:rsidRPr="00F61A9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- </w:t>
      </w:r>
      <w:proofErr w:type="gramStart"/>
      <w:r w:rsidRPr="00F61A9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un</w:t>
      </w:r>
      <w:proofErr w:type="gramEnd"/>
      <w:r w:rsidRPr="00F61A9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sistem complex de procese decizionale, manageriale sau de monitorizare care preced, </w:t>
      </w:r>
      <w:proofErr w:type="spellStart"/>
      <w:r w:rsidRPr="00F61A9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însoţesc</w:t>
      </w:r>
      <w:proofErr w:type="spellEnd"/>
      <w:r w:rsidRPr="00F61A9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F61A9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şi</w:t>
      </w:r>
      <w:proofErr w:type="spellEnd"/>
      <w:r w:rsidRPr="00F61A9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urmează proiectarea, elaborarea, implementarea, evaluarea </w:t>
      </w:r>
      <w:proofErr w:type="spellStart"/>
      <w:r w:rsidRPr="00F61A9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şi</w:t>
      </w:r>
      <w:proofErr w:type="spellEnd"/>
      <w:r w:rsidRPr="00F61A9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revizuirea permanentă </w:t>
      </w:r>
      <w:proofErr w:type="spellStart"/>
      <w:r w:rsidRPr="00F61A9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şi</w:t>
      </w:r>
      <w:proofErr w:type="spellEnd"/>
      <w:r w:rsidRPr="00F61A91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dinamică a setului de activități de formare profesională oferite în instituția de învățământ superior.</w:t>
      </w:r>
    </w:p>
    <w:p w:rsidR="00F42EF3" w:rsidRPr="00F61A91" w:rsidRDefault="00F42EF3" w:rsidP="00F42E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81"/>
        <w:tblW w:w="1010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308"/>
      </w:tblGrid>
      <w:tr w:rsidR="00F42EF3" w:rsidRPr="00F61A91" w:rsidTr="00142E6D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139980F" wp14:editId="798B6391">
                  <wp:extent cx="1247775" cy="1240272"/>
                  <wp:effectExtent l="0" t="0" r="0" b="0"/>
                  <wp:docPr id="7" name="Рисунок 7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b/>
              </w:rPr>
              <w:t>MANUALUL DE PROCEDURI SPECIFICE ŞI DE SISTEM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COD: PS-AC-0</w:t>
            </w:r>
            <w:r>
              <w:rPr>
                <w:rStyle w:val="FontStyle215"/>
                <w:sz w:val="24"/>
                <w:szCs w:val="24"/>
                <w:lang w:val="ro-RO" w:eastAsia="ro-RO"/>
              </w:rPr>
              <w:t>1</w:t>
            </w:r>
          </w:p>
        </w:tc>
      </w:tr>
      <w:tr w:rsidR="00F42EF3" w:rsidRPr="00F61A91" w:rsidTr="00142E6D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Procedură de asigurare a calității privind INIŢIEREA, APROBAREA, MONITORIZAREA ŞI EVALUAREA</w:t>
            </w:r>
            <w:r>
              <w:rPr>
                <w:rStyle w:val="FontStyle215"/>
                <w:sz w:val="24"/>
                <w:szCs w:val="24"/>
                <w:lang w:val="ro-RO" w:eastAsia="ro-RO"/>
              </w:rPr>
              <w:t xml:space="preserve"> </w:t>
            </w: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PERIODICA A PROGRAMELOR DE STUDII (CICLUL I, II, FORMARE PROFESIONALĂ CONTINUĂ)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Ed. / Rev.</w:t>
            </w: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1 / 0</w:t>
            </w:r>
          </w:p>
        </w:tc>
      </w:tr>
    </w:tbl>
    <w:p w:rsidR="00F42EF3" w:rsidRDefault="00F42EF3" w:rsidP="00F42EF3">
      <w:pPr>
        <w:spacing w:after="0" w:line="276" w:lineRule="auto"/>
        <w:ind w:firstLine="640"/>
        <w:jc w:val="both"/>
        <w:rPr>
          <w:rStyle w:val="FontStyle215"/>
          <w:bCs w:val="0"/>
          <w:i/>
          <w:sz w:val="24"/>
          <w:szCs w:val="24"/>
          <w:shd w:val="clear" w:color="auto" w:fill="FFFFFF"/>
          <w:lang w:val="ro-RO"/>
        </w:rPr>
      </w:pPr>
    </w:p>
    <w:p w:rsidR="00F42EF3" w:rsidRPr="00F61A91" w:rsidRDefault="00F42EF3" w:rsidP="00F42EF3">
      <w:pPr>
        <w:spacing w:after="0" w:line="276" w:lineRule="auto"/>
        <w:ind w:firstLine="640"/>
        <w:jc w:val="both"/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</w:pPr>
      <w:r w:rsidRPr="00F61A91">
        <w:rPr>
          <w:rStyle w:val="FontStyle215"/>
          <w:bCs w:val="0"/>
          <w:i/>
          <w:sz w:val="24"/>
          <w:szCs w:val="24"/>
          <w:shd w:val="clear" w:color="auto" w:fill="FFFFFF"/>
          <w:lang w:val="ro-RO"/>
        </w:rPr>
        <w:lastRenderedPageBreak/>
        <w:t>Disciplină / unitate de curs</w:t>
      </w:r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- unitate de bază a planului de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învăţământ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, cu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conţinut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unitar caracteristic, care contribuie la dobândirea unor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competenţe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concrete specifice calificării date, în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concordanţă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cu obiectivele specialității.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Conţinutul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disciplinelor se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stabileşte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prin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fişa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disciplinei.</w:t>
      </w:r>
    </w:p>
    <w:p w:rsidR="00F42EF3" w:rsidRPr="00F61A91" w:rsidRDefault="00F42EF3" w:rsidP="00F42EF3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</w:pP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Disciplini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din</w:t>
      </w:r>
      <w:r w:rsidRPr="00F61A9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planul de </w:t>
      </w:r>
      <w:proofErr w:type="spellStart"/>
      <w:r w:rsidRPr="00F61A91">
        <w:rPr>
          <w:rFonts w:ascii="Times New Roman" w:hAnsi="Times New Roman" w:cs="Times New Roman"/>
          <w:i/>
          <w:sz w:val="24"/>
          <w:szCs w:val="24"/>
          <w:lang w:val="ro-RO"/>
        </w:rPr>
        <w:t>învăţământ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- un sistem de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de formare profesională și de cercetare științifică a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specialiştilor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pentru diverse domenii ale economiei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naţionale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, reunite într-o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concepţie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unitară din punct de vedere al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conţinutului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proofErr w:type="spellEnd"/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acestora în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timp;</w:t>
      </w:r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nă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fundamentală:  disciplină care  asigură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însuşirea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competenţelor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, 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abilităţilor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şi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capacităţilor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fundamentale generale.</w:t>
      </w:r>
    </w:p>
    <w:p w:rsidR="00F42EF3" w:rsidRPr="00F61A91" w:rsidRDefault="00F42EF3" w:rsidP="00F42EF3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</w:pPr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Disciplină de specialitate: disciplină ce asigură specializarea </w:t>
      </w:r>
      <w:r w:rsidRPr="00D614AD">
        <w:rPr>
          <w:rFonts w:ascii="Times New Roman" w:hAnsi="Times New Roman" w:cs="Times New Roman"/>
          <w:sz w:val="24"/>
          <w:szCs w:val="24"/>
          <w:lang w:val="ro-RO"/>
        </w:rPr>
        <w:t>studenților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/ formabililor</w:t>
      </w:r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, aprofundarea într-o anumită ramură a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specialităţii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date. </w:t>
      </w:r>
    </w:p>
    <w:p w:rsidR="00F42EF3" w:rsidRPr="00F61A91" w:rsidRDefault="00F42EF3" w:rsidP="00F42EF3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</w:pPr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Disciplina  obligatorie:  discipline  pe  care  studentul  le  va  studia  în  mod  obligatoriu  în perioada de studiu. </w:t>
      </w:r>
    </w:p>
    <w:p w:rsidR="00F42EF3" w:rsidRPr="00F61A91" w:rsidRDefault="00F42EF3" w:rsidP="00F42EF3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</w:pPr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Disciplina 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opţională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:  Studierea  unui  anumit  număr  de  discipline  alese  din  cadrul disciplinelor 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opţionale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,  asigurând  acumularea  punctelor  de  credit  necesare  stabilite  prin planul de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învăţământ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, este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condiţie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a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obţinerii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calificării. </w:t>
      </w:r>
    </w:p>
    <w:p w:rsidR="00F42EF3" w:rsidRPr="00F61A91" w:rsidRDefault="00F42EF3" w:rsidP="00F42EF3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</w:pPr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Disciplina  facultativă sau  liber  aleasă:  disciplină ce figurează în  planul  de 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învăţământ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 al programului de studii, fără obligativitatea studentului de a o studia. </w:t>
      </w:r>
    </w:p>
    <w:p w:rsidR="00F42EF3" w:rsidRPr="00F61A91" w:rsidRDefault="00F42EF3" w:rsidP="00F42EF3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</w:pPr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Contract de studii: contract încheiat între student 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şi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decanul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facultăţii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, prin care studentul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stabileşte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 disciplinele  alese, iar  facultatea  </w:t>
      </w:r>
      <w:proofErr w:type="spellStart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>îşi</w:t>
      </w:r>
      <w:proofErr w:type="spellEnd"/>
      <w:r w:rsidRPr="00F61A91"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  <w:t xml:space="preserve">  asumă organizarea  predării  disciplinelor  în cauză.</w:t>
      </w:r>
    </w:p>
    <w:p w:rsidR="00F42EF3" w:rsidRPr="00F61A91" w:rsidRDefault="00F42EF3" w:rsidP="00F42EF3">
      <w:pPr>
        <w:pStyle w:val="a3"/>
        <w:numPr>
          <w:ilvl w:val="1"/>
          <w:numId w:val="2"/>
        </w:numPr>
        <w:spacing w:after="0" w:line="276" w:lineRule="auto"/>
        <w:jc w:val="both"/>
        <w:rPr>
          <w:rStyle w:val="FontStyle215"/>
          <w:bCs w:val="0"/>
          <w:sz w:val="24"/>
          <w:szCs w:val="24"/>
          <w:shd w:val="clear" w:color="auto" w:fill="FFFFFF"/>
          <w:lang w:val="ro-RO"/>
        </w:rPr>
      </w:pPr>
      <w:r w:rsidRPr="00F61A91">
        <w:rPr>
          <w:rStyle w:val="FontStyle215"/>
          <w:bCs w:val="0"/>
          <w:sz w:val="24"/>
          <w:szCs w:val="24"/>
          <w:shd w:val="clear" w:color="auto" w:fill="FFFFFF"/>
          <w:lang w:val="ro-RO"/>
        </w:rPr>
        <w:t>Abrevieri</w:t>
      </w:r>
    </w:p>
    <w:p w:rsidR="00F42EF3" w:rsidRPr="00F61A91" w:rsidRDefault="00F42EF3" w:rsidP="00F42EF3">
      <w:pPr>
        <w:pStyle w:val="Corptext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right="100"/>
        <w:rPr>
          <w:rStyle w:val="Bodytext"/>
          <w:rFonts w:ascii="Times New Roman" w:hAnsi="Times New Roman" w:cs="Times New Roman"/>
          <w:sz w:val="24"/>
          <w:szCs w:val="24"/>
          <w:lang w:val="ro-RO"/>
        </w:rPr>
      </w:pPr>
      <w:r w:rsidRPr="00F61A91">
        <w:rPr>
          <w:rStyle w:val="Bodytext"/>
          <w:rFonts w:ascii="Times New Roman" w:hAnsi="Times New Roman" w:cs="Times New Roman"/>
          <w:b/>
          <w:sz w:val="24"/>
          <w:szCs w:val="24"/>
          <w:lang w:val="ro-RO"/>
        </w:rPr>
        <w:t>USC</w:t>
      </w:r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 – Universitatea de Stat „B. P. </w:t>
      </w:r>
      <w:proofErr w:type="spellStart"/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>Hasdeu”din</w:t>
      </w:r>
      <w:proofErr w:type="spellEnd"/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 Cahul;</w:t>
      </w:r>
    </w:p>
    <w:p w:rsidR="00F42EF3" w:rsidRPr="00F61A91" w:rsidRDefault="00F42EF3" w:rsidP="00F42EF3">
      <w:pPr>
        <w:pStyle w:val="Corptext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right="100"/>
        <w:rPr>
          <w:rStyle w:val="Bodytext"/>
          <w:rFonts w:ascii="Times New Roman" w:hAnsi="Times New Roman" w:cs="Times New Roman"/>
          <w:sz w:val="24"/>
          <w:szCs w:val="24"/>
          <w:lang w:val="ro-RO"/>
        </w:rPr>
      </w:pPr>
      <w:r w:rsidRPr="00F61A91">
        <w:rPr>
          <w:rStyle w:val="Bodytext"/>
          <w:rFonts w:ascii="Times New Roman" w:hAnsi="Times New Roman" w:cs="Times New Roman"/>
          <w:b/>
          <w:sz w:val="24"/>
          <w:szCs w:val="24"/>
          <w:lang w:val="ro-RO"/>
        </w:rPr>
        <w:t>SUSC</w:t>
      </w:r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 – Senatul Universității de Stat „B. P. </w:t>
      </w:r>
      <w:proofErr w:type="spellStart"/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>Hasdeu”din</w:t>
      </w:r>
      <w:proofErr w:type="spellEnd"/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 Cahul;</w:t>
      </w:r>
    </w:p>
    <w:p w:rsidR="00F42EF3" w:rsidRPr="00F61A91" w:rsidRDefault="00F42EF3" w:rsidP="00F42EF3">
      <w:pPr>
        <w:pStyle w:val="Corptext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right="100"/>
        <w:rPr>
          <w:rStyle w:val="Bodytext"/>
          <w:rFonts w:ascii="Times New Roman" w:hAnsi="Times New Roman" w:cs="Times New Roman"/>
          <w:sz w:val="24"/>
          <w:szCs w:val="24"/>
          <w:lang w:val="ro-RO"/>
        </w:rPr>
      </w:pPr>
      <w:r w:rsidRPr="00F61A91">
        <w:rPr>
          <w:rStyle w:val="Bodytext"/>
          <w:rFonts w:ascii="Times New Roman" w:hAnsi="Times New Roman" w:cs="Times New Roman"/>
          <w:b/>
          <w:sz w:val="24"/>
          <w:szCs w:val="24"/>
          <w:lang w:val="ro-RO"/>
        </w:rPr>
        <w:t>HS</w:t>
      </w:r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 – Hotărâre a Senatului Universității de Stat „B. P. </w:t>
      </w:r>
      <w:proofErr w:type="spellStart"/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>Hasdeu”din</w:t>
      </w:r>
      <w:proofErr w:type="spellEnd"/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 Cahul;</w:t>
      </w:r>
    </w:p>
    <w:p w:rsidR="00F42EF3" w:rsidRPr="00F61A91" w:rsidRDefault="00F42EF3" w:rsidP="00F42EF3">
      <w:pPr>
        <w:pStyle w:val="Corptext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right="100"/>
        <w:rPr>
          <w:rStyle w:val="Bodytext"/>
          <w:rFonts w:ascii="Times New Roman" w:hAnsi="Times New Roman" w:cs="Times New Roman"/>
          <w:sz w:val="24"/>
          <w:szCs w:val="24"/>
          <w:lang w:val="ro-RO"/>
        </w:rPr>
      </w:pPr>
      <w:r w:rsidRPr="00F61A91">
        <w:rPr>
          <w:rStyle w:val="Bodytext"/>
          <w:rFonts w:ascii="Times New Roman" w:hAnsi="Times New Roman" w:cs="Times New Roman"/>
          <w:b/>
          <w:sz w:val="24"/>
          <w:szCs w:val="24"/>
          <w:lang w:val="ro-RO"/>
        </w:rPr>
        <w:t xml:space="preserve">CA </w:t>
      </w:r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>– Consiliul de Administrație;</w:t>
      </w:r>
    </w:p>
    <w:p w:rsidR="00F42EF3" w:rsidRPr="00F61A91" w:rsidRDefault="00F42EF3" w:rsidP="00F42EF3">
      <w:pPr>
        <w:pStyle w:val="Corptext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right="100"/>
        <w:rPr>
          <w:rStyle w:val="Bodytext"/>
          <w:rFonts w:ascii="Times New Roman" w:hAnsi="Times New Roman" w:cs="Times New Roman"/>
          <w:sz w:val="24"/>
          <w:szCs w:val="24"/>
          <w:lang w:val="ro-RO"/>
        </w:rPr>
      </w:pPr>
      <w:r w:rsidRPr="00F61A91">
        <w:rPr>
          <w:rStyle w:val="Bodytext"/>
          <w:rFonts w:ascii="Times New Roman" w:hAnsi="Times New Roman" w:cs="Times New Roman"/>
          <w:b/>
          <w:sz w:val="24"/>
          <w:szCs w:val="24"/>
          <w:lang w:val="ro-RO"/>
        </w:rPr>
        <w:t>CF</w:t>
      </w:r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 – Consiliul Facultății;</w:t>
      </w:r>
    </w:p>
    <w:p w:rsidR="00F42EF3" w:rsidRPr="00FA6E9E" w:rsidRDefault="00F42EF3" w:rsidP="00F42EF3">
      <w:pPr>
        <w:pStyle w:val="Corptext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right="1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F61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CCPSPFP</w:t>
      </w:r>
      <w:r w:rsidRPr="00F61A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 w:rsidRPr="00F61A91">
        <w:rPr>
          <w:rFonts w:ascii="Times New Roman" w:hAnsi="Times New Roman" w:cs="Times New Roman"/>
          <w:sz w:val="24"/>
          <w:szCs w:val="24"/>
          <w:lang w:val="ro-RO"/>
        </w:rPr>
        <w:t>Comisia pentru calitatea procesului de studii și parteneriate de formare profesională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F61A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F42EF3" w:rsidRPr="00F61A91" w:rsidRDefault="00F42EF3" w:rsidP="00F42EF3">
      <w:pPr>
        <w:pStyle w:val="Corptext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right="10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F61A91">
        <w:rPr>
          <w:rStyle w:val="Bodytext"/>
          <w:rFonts w:ascii="Times New Roman" w:hAnsi="Times New Roman" w:cs="Times New Roman"/>
          <w:b/>
          <w:sz w:val="24"/>
          <w:szCs w:val="24"/>
          <w:lang w:val="ro-RO"/>
        </w:rPr>
        <w:t xml:space="preserve">SMCGCC </w:t>
      </w:r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– Serviciu (Management al Calității, Ghidare și Consiliere în carieră); Asigurarea </w:t>
      </w:r>
      <w:proofErr w:type="spellStart"/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>Calităţii</w:t>
      </w:r>
      <w:proofErr w:type="spellEnd"/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>;</w:t>
      </w:r>
    </w:p>
    <w:p w:rsidR="00F42EF3" w:rsidRPr="00F61A91" w:rsidRDefault="00F42EF3" w:rsidP="00F42EF3">
      <w:pPr>
        <w:numPr>
          <w:ilvl w:val="0"/>
          <w:numId w:val="4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  <w:lang w:val="ro-RO"/>
        </w:rPr>
      </w:pPr>
      <w:r w:rsidRPr="00F61A91">
        <w:rPr>
          <w:rFonts w:ascii="Times New Roman" w:hAnsi="Times New Roman" w:cs="Times New Roman"/>
          <w:b/>
          <w:sz w:val="24"/>
          <w:szCs w:val="24"/>
          <w:lang w:val="ro-RO"/>
        </w:rPr>
        <w:t>CF</w:t>
      </w:r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– Consiliul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lang w:val="ro-RO"/>
        </w:rPr>
        <w:t>facultăţii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42EF3" w:rsidRPr="00F61A91" w:rsidRDefault="00F42EF3" w:rsidP="00F42EF3">
      <w:pPr>
        <w:numPr>
          <w:ilvl w:val="0"/>
          <w:numId w:val="4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1A91">
        <w:rPr>
          <w:rFonts w:ascii="Times New Roman" w:hAnsi="Times New Roman" w:cs="Times New Roman"/>
          <w:b/>
          <w:sz w:val="24"/>
          <w:szCs w:val="24"/>
          <w:lang w:val="ro-RO"/>
        </w:rPr>
        <w:t>ANACEC</w:t>
      </w:r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Agenția</w:t>
      </w:r>
      <w:proofErr w:type="spellEnd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Națională</w:t>
      </w:r>
      <w:proofErr w:type="spellEnd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Asigurare</w:t>
      </w:r>
      <w:proofErr w:type="spellEnd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Calității</w:t>
      </w:r>
      <w:proofErr w:type="spellEnd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Educație</w:t>
      </w:r>
      <w:proofErr w:type="spellEnd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Cercetare</w:t>
      </w:r>
      <w:proofErr w:type="spellEnd"/>
      <w:r w:rsidRPr="00F61A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F61A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42EF3" w:rsidRPr="00F61A91" w:rsidRDefault="00F42EF3" w:rsidP="00F42EF3">
      <w:pPr>
        <w:pStyle w:val="Corptext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right="100"/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</w:pPr>
      <w:r w:rsidRPr="00F61A91">
        <w:rPr>
          <w:rStyle w:val="Bodytext"/>
          <w:rFonts w:ascii="Times New Roman" w:hAnsi="Times New Roman" w:cs="Times New Roman"/>
          <w:b/>
          <w:sz w:val="24"/>
          <w:szCs w:val="24"/>
          <w:lang w:val="ro-RO"/>
        </w:rPr>
        <w:t>PS</w:t>
      </w:r>
      <w:r w:rsidRPr="00F61A91">
        <w:rPr>
          <w:rStyle w:val="Bodytext"/>
          <w:rFonts w:ascii="Times New Roman" w:hAnsi="Times New Roman" w:cs="Times New Roman"/>
          <w:sz w:val="24"/>
          <w:szCs w:val="24"/>
          <w:lang w:val="ro-RO"/>
        </w:rPr>
        <w:t xml:space="preserve"> – Procedură de sistem.</w:t>
      </w:r>
    </w:p>
    <w:p w:rsidR="00F42EF3" w:rsidRDefault="00F42EF3" w:rsidP="00F42EF3">
      <w:pPr>
        <w:pStyle w:val="Corptext1"/>
        <w:shd w:val="clear" w:color="auto" w:fill="auto"/>
        <w:tabs>
          <w:tab w:val="left" w:pos="0"/>
        </w:tabs>
        <w:spacing w:before="0" w:line="276" w:lineRule="auto"/>
        <w:ind w:right="1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F42EF3" w:rsidRDefault="00F42EF3" w:rsidP="00F42EF3">
      <w:pPr>
        <w:pStyle w:val="Corptext1"/>
        <w:shd w:val="clear" w:color="auto" w:fill="auto"/>
        <w:tabs>
          <w:tab w:val="left" w:pos="0"/>
        </w:tabs>
        <w:spacing w:before="0" w:line="276" w:lineRule="auto"/>
        <w:ind w:right="1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F42EF3" w:rsidRDefault="00F42EF3" w:rsidP="00F42EF3">
      <w:pPr>
        <w:pStyle w:val="Corptext1"/>
        <w:shd w:val="clear" w:color="auto" w:fill="auto"/>
        <w:tabs>
          <w:tab w:val="left" w:pos="0"/>
        </w:tabs>
        <w:spacing w:before="0" w:line="276" w:lineRule="auto"/>
        <w:ind w:right="1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:rsidR="00F42EF3" w:rsidRPr="00F61A91" w:rsidRDefault="00F42EF3" w:rsidP="00F42EF3">
      <w:pPr>
        <w:pStyle w:val="Corptext1"/>
        <w:shd w:val="clear" w:color="auto" w:fill="auto"/>
        <w:tabs>
          <w:tab w:val="left" w:pos="0"/>
        </w:tabs>
        <w:spacing w:before="0" w:line="276" w:lineRule="auto"/>
        <w:ind w:right="10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tbl>
      <w:tblPr>
        <w:tblpPr w:leftFromText="180" w:rightFromText="180" w:vertAnchor="text" w:horzAnchor="margin" w:tblpXSpec="center" w:tblpY="181"/>
        <w:tblW w:w="1010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308"/>
      </w:tblGrid>
      <w:tr w:rsidR="00F42EF3" w:rsidRPr="00F61A91" w:rsidTr="00142E6D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377B5FF" wp14:editId="528DEF72">
                  <wp:extent cx="1247775" cy="1240272"/>
                  <wp:effectExtent l="0" t="0" r="0" b="0"/>
                  <wp:docPr id="8" name="Рисунок 8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b/>
              </w:rPr>
              <w:t>MANUALUL DE PROCEDURI SPECIFICE ŞI DE SISTEM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COD: PS-AC-0</w:t>
            </w:r>
            <w:r>
              <w:rPr>
                <w:rStyle w:val="FontStyle215"/>
                <w:sz w:val="24"/>
                <w:szCs w:val="24"/>
                <w:lang w:val="ro-RO" w:eastAsia="ro-RO"/>
              </w:rPr>
              <w:t>1</w:t>
            </w:r>
          </w:p>
        </w:tc>
      </w:tr>
      <w:tr w:rsidR="00F42EF3" w:rsidRPr="00F61A91" w:rsidTr="00142E6D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Procedură de asigurare a calității privind INIŢIEREA, APROBAREA, MONITORIZAREA ŞI EVALUAREA</w:t>
            </w: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PERIODICA A PROGRAMELOR DE STUDII (CICLUL I, II, FORMARE PROFESIONALĂ CONTINUĂ)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Ed. / Rev.</w:t>
            </w: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1 / 0</w:t>
            </w:r>
          </w:p>
        </w:tc>
      </w:tr>
    </w:tbl>
    <w:p w:rsidR="00F42EF3" w:rsidRPr="00F61A91" w:rsidRDefault="00F42EF3" w:rsidP="00F42EF3">
      <w:pPr>
        <w:pStyle w:val="Corptext1"/>
        <w:shd w:val="clear" w:color="auto" w:fill="auto"/>
        <w:tabs>
          <w:tab w:val="left" w:pos="0"/>
        </w:tabs>
        <w:spacing w:before="0" w:line="276" w:lineRule="auto"/>
        <w:ind w:right="100" w:firstLine="0"/>
        <w:rPr>
          <w:rStyle w:val="Bodytext"/>
          <w:rFonts w:ascii="Times New Roman" w:hAnsi="Times New Roman" w:cs="Times New Roman"/>
          <w:sz w:val="24"/>
          <w:szCs w:val="24"/>
          <w:lang w:val="ro-RO"/>
        </w:rPr>
      </w:pPr>
    </w:p>
    <w:p w:rsidR="00F42EF3" w:rsidRPr="00F61A91" w:rsidRDefault="00F42EF3" w:rsidP="00F42EF3">
      <w:pPr>
        <w:spacing w:after="0" w:line="276" w:lineRule="auto"/>
        <w:jc w:val="both"/>
        <w:rPr>
          <w:rStyle w:val="FontStyle215"/>
          <w:b w:val="0"/>
          <w:bCs w:val="0"/>
          <w:sz w:val="24"/>
          <w:szCs w:val="24"/>
          <w:shd w:val="clear" w:color="auto" w:fill="FFFFFF"/>
          <w:lang w:val="ro-RO"/>
        </w:rPr>
      </w:pPr>
    </w:p>
    <w:p w:rsidR="00F42EF3" w:rsidRPr="00F61A91" w:rsidRDefault="00F42EF3" w:rsidP="00F42EF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1A91">
        <w:rPr>
          <w:rFonts w:ascii="Times New Roman" w:hAnsi="Times New Roman" w:cs="Times New Roman"/>
          <w:b/>
          <w:sz w:val="24"/>
          <w:szCs w:val="24"/>
          <w:lang w:val="en-US"/>
        </w:rPr>
        <w:t>RESPONSABIL DE PROCES</w:t>
      </w:r>
    </w:p>
    <w:p w:rsidR="00F42EF3" w:rsidRPr="00B43B3F" w:rsidRDefault="00F42EF3" w:rsidP="00F42EF3">
      <w:pPr>
        <w:pStyle w:val="a3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3B3F">
        <w:rPr>
          <w:rFonts w:ascii="Times New Roman" w:hAnsi="Times New Roman" w:cs="Times New Roman"/>
          <w:sz w:val="24"/>
          <w:szCs w:val="24"/>
          <w:lang w:val="en-US"/>
        </w:rPr>
        <w:t>Senatul</w:t>
      </w:r>
      <w:proofErr w:type="spellEnd"/>
      <w:r w:rsidRPr="00B43B3F">
        <w:rPr>
          <w:rFonts w:ascii="Times New Roman" w:hAnsi="Times New Roman" w:cs="Times New Roman"/>
          <w:sz w:val="24"/>
          <w:szCs w:val="24"/>
          <w:lang w:val="en-US"/>
        </w:rPr>
        <w:t xml:space="preserve"> USC; Rector, </w:t>
      </w:r>
      <w:proofErr w:type="spellStart"/>
      <w:r w:rsidRPr="00B43B3F">
        <w:rPr>
          <w:rFonts w:ascii="Times New Roman" w:hAnsi="Times New Roman" w:cs="Times New Roman"/>
          <w:sz w:val="24"/>
          <w:szCs w:val="24"/>
          <w:lang w:val="en-US"/>
        </w:rPr>
        <w:t>Prorector</w:t>
      </w:r>
      <w:proofErr w:type="spellEnd"/>
      <w:r w:rsidRPr="00B43B3F">
        <w:rPr>
          <w:rFonts w:ascii="Times New Roman" w:hAnsi="Times New Roman" w:cs="Times New Roman"/>
          <w:sz w:val="24"/>
          <w:szCs w:val="24"/>
          <w:lang w:val="en-US"/>
        </w:rPr>
        <w:t xml:space="preserve">, SMCGCC, </w:t>
      </w:r>
      <w:proofErr w:type="spellStart"/>
      <w:r w:rsidRPr="00B43B3F">
        <w:rPr>
          <w:rFonts w:ascii="Times New Roman" w:hAnsi="Times New Roman" w:cs="Times New Roman"/>
          <w:sz w:val="24"/>
          <w:szCs w:val="24"/>
          <w:lang w:val="en-US"/>
        </w:rPr>
        <w:t>decan</w:t>
      </w:r>
      <w:proofErr w:type="spellEnd"/>
      <w:r w:rsidRPr="00B43B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3B3F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B43B3F">
        <w:rPr>
          <w:rFonts w:ascii="Times New Roman" w:hAnsi="Times New Roman" w:cs="Times New Roman"/>
          <w:sz w:val="24"/>
          <w:szCs w:val="24"/>
          <w:lang w:val="en-US"/>
        </w:rPr>
        <w:t xml:space="preserve"> de department / </w:t>
      </w:r>
      <w:proofErr w:type="spellStart"/>
      <w:r w:rsidRPr="00B43B3F">
        <w:rPr>
          <w:rFonts w:ascii="Times New Roman" w:hAnsi="Times New Roman" w:cs="Times New Roman"/>
          <w:sz w:val="24"/>
          <w:szCs w:val="24"/>
          <w:lang w:val="en-US"/>
        </w:rPr>
        <w:t>catedră</w:t>
      </w:r>
      <w:proofErr w:type="spellEnd"/>
      <w:r w:rsidRPr="00B43B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2EF3" w:rsidRPr="00F61A91" w:rsidRDefault="00F42EF3" w:rsidP="00F42EF3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  <w:lang w:val="en-US"/>
        </w:rPr>
      </w:pPr>
    </w:p>
    <w:p w:rsidR="00F42EF3" w:rsidRPr="00F61A91" w:rsidRDefault="00F42EF3" w:rsidP="00F42EF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1A91">
        <w:rPr>
          <w:rFonts w:ascii="Times New Roman" w:hAnsi="Times New Roman" w:cs="Times New Roman"/>
          <w:b/>
          <w:sz w:val="24"/>
          <w:szCs w:val="24"/>
          <w:lang w:val="en-US"/>
        </w:rPr>
        <w:t>DESCRIEREA PROCESULUI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Procedura se aplică atât pentru programele de studii universitare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licenţă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masterat, precum și pentru programele de formare profesională continuă;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Iniţierea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program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îmbunătăţirea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educaţiei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adaptarea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acestuia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cerinţele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realităţile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universitar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social,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eficientă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resurselor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concordanţă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normele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naţionale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domeniile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universitare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licenţă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master,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formare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continuă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pot fi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iniţiate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, de regulă, în domenii care fac obiectul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actuale ale instituției;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Pot fi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iniţiate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doar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înscrise în Nomenclatorul domeniilor de formare profesională și al specialităților în învățământul superior; Nomenclatorul domeniilor de formare profesională, al specialităților </w:t>
      </w:r>
      <w:proofErr w:type="spellStart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şi</w:t>
      </w:r>
      <w:proofErr w:type="spellEnd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calificărilor</w:t>
      </w:r>
      <w:proofErr w:type="spellEnd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pentru</w:t>
      </w:r>
      <w:proofErr w:type="spellEnd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învăţământul</w:t>
      </w:r>
      <w:proofErr w:type="spellEnd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profesional</w:t>
      </w:r>
      <w:proofErr w:type="spellEnd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tehnic</w:t>
      </w:r>
      <w:proofErr w:type="spellEnd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postsecundar</w:t>
      </w:r>
      <w:proofErr w:type="spellEnd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şi</w:t>
      </w:r>
      <w:proofErr w:type="spellEnd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postsecundar</w:t>
      </w:r>
      <w:proofErr w:type="spellEnd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nonterţiar</w:t>
      </w:r>
      <w:proofErr w:type="spellEnd"/>
      <w:r w:rsidRPr="00FA6E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Iniţiatorul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unui Program de studii este catedra / departamentul cu  avizul Consiliului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facultăţii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Iniţierea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unui program  de  studii  se  bazează  pe  analize  complexe  privind  mediul extern (contextul  economic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socio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-cultural,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piaţa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muncii;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corespondenţa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Cadrul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Naţional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 Calificărilor,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comparativă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similare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de la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universităţi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ţară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străinătate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)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intern al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universităţii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(evaluarea ofertei existente de programe de studii, a obiectivelor strategice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resurselor disponibile ale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universităţii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), finalizate printr-un studiu preliminar;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Studiul preliminar cuprinde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informaţii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referitoare la: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piaţa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muncii;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corespondenţa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Cadrul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Naţional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 Calificărilor; încadrarea în strategia universității; asigurarea resurselor necesare la nivelul standardelor de autorizare; proiectul de plan de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învăţământ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Studiul preliminar, împreună cu Documentele  noului  program  de  studii  (plan de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învăţământ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ș.a.) sunt  analizate  în  departament / catedră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validate de către Consiliul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facultăţii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F42EF3" w:rsidRPr="00FA6E9E" w:rsidRDefault="00F42EF3" w:rsidP="00F42EF3">
      <w:pPr>
        <w:pStyle w:val="a3"/>
        <w:tabs>
          <w:tab w:val="left" w:pos="720"/>
        </w:tabs>
        <w:spacing w:after="0" w:line="276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EF3" w:rsidRPr="00FA6E9E" w:rsidRDefault="00F42EF3" w:rsidP="00F42EF3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EF3" w:rsidRPr="00FA6E9E" w:rsidRDefault="00F42EF3" w:rsidP="00F42EF3">
      <w:pPr>
        <w:pStyle w:val="a3"/>
        <w:tabs>
          <w:tab w:val="left" w:pos="720"/>
        </w:tabs>
        <w:spacing w:after="0" w:line="276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1"/>
        <w:tblW w:w="1010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308"/>
      </w:tblGrid>
      <w:tr w:rsidR="00F42EF3" w:rsidRPr="00F61A91" w:rsidTr="00142E6D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A27D357" wp14:editId="54E36BCC">
                  <wp:extent cx="1247775" cy="1240272"/>
                  <wp:effectExtent l="0" t="0" r="0" b="0"/>
                  <wp:docPr id="9" name="Рисунок 9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b/>
              </w:rPr>
              <w:t>MANUALUL DE PROCEDURI SPECIFICE ŞI DE SISTEM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COD: PS-AC-0</w:t>
            </w:r>
            <w:r>
              <w:rPr>
                <w:rStyle w:val="FontStyle215"/>
                <w:sz w:val="24"/>
                <w:szCs w:val="24"/>
                <w:lang w:val="ro-RO" w:eastAsia="ro-RO"/>
              </w:rPr>
              <w:t>1</w:t>
            </w:r>
          </w:p>
        </w:tc>
      </w:tr>
      <w:tr w:rsidR="00F42EF3" w:rsidRPr="00F61A91" w:rsidTr="00142E6D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Procedură de asigurare a calității privind INIŢIEREA, APROBAREA, MONITORIZAREA ŞI EVALUAREA</w:t>
            </w: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PERIODICA A PROGRAMELOR DE STUDII (CICLUL I, II, FORMARE PROFESIONALĂ CONTINUĂ)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Ed. / Rev.</w:t>
            </w: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1 / 0</w:t>
            </w:r>
          </w:p>
        </w:tc>
      </w:tr>
    </w:tbl>
    <w:p w:rsidR="00F42EF3" w:rsidRPr="00FA6E9E" w:rsidRDefault="00F42EF3" w:rsidP="00F42EF3">
      <w:pPr>
        <w:pStyle w:val="a3"/>
        <w:tabs>
          <w:tab w:val="left" w:pos="720"/>
        </w:tabs>
        <w:spacing w:after="0" w:line="276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sz w:val="24"/>
          <w:szCs w:val="24"/>
          <w:lang w:val="en-US"/>
        </w:rPr>
        <w:t>MCGCC</w:t>
      </w:r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verifică dacă planul de învățământ al programului nou de studii </w:t>
      </w:r>
      <w:proofErr w:type="gramStart"/>
      <w:r w:rsidRPr="00FA6E9E">
        <w:rPr>
          <w:rFonts w:ascii="Times New Roman" w:hAnsi="Times New Roman" w:cs="Times New Roman"/>
          <w:sz w:val="24"/>
          <w:szCs w:val="24"/>
          <w:lang w:val="ro-RO"/>
        </w:rPr>
        <w:t>este</w:t>
      </w:r>
      <w:proofErr w:type="gram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optimizat cu cel al altor programe de studii; asigurându-se, totodată, că acesta este complet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corect. Totodată, verifică îndeplinirea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cerinţelor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normative, instituite la nivel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naţional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de către Ministerul Educației, Culturii și Cercetării, precum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încadrarea indicatorilor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performanţă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în limitele fixate de către ANACEC;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FA6E9E">
        <w:rPr>
          <w:rFonts w:ascii="Times New Roman" w:hAnsi="Times New Roman" w:cs="Times New Roman"/>
          <w:sz w:val="24"/>
          <w:szCs w:val="24"/>
          <w:lang w:val="en-US"/>
        </w:rPr>
        <w:t>SMCGCC</w:t>
      </w:r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verifică îndeplinirea standardelor privind resursele umane, se vor completa formularele tipizate (Anexa );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sz w:val="24"/>
          <w:szCs w:val="24"/>
          <w:lang w:val="en-US"/>
        </w:rPr>
        <w:t>SMCGCC</w:t>
      </w:r>
      <w:r w:rsidRPr="00FA6E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transmite </w:t>
      </w:r>
      <w:r w:rsidRPr="00FA6E9E">
        <w:rPr>
          <w:rFonts w:ascii="Times New Roman" w:hAnsi="Times New Roman" w:cs="Times New Roman"/>
          <w:sz w:val="24"/>
          <w:szCs w:val="24"/>
          <w:lang w:val="ro-RO"/>
        </w:rPr>
        <w:t>planul de învățământ al programului nou de studii,</w:t>
      </w:r>
      <w:r w:rsidRPr="00FA6E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spre evaluare internă, la </w:t>
      </w:r>
      <w:r w:rsidRPr="00FA6E9E">
        <w:rPr>
          <w:rFonts w:ascii="Times New Roman" w:hAnsi="Times New Roman" w:cs="Times New Roman"/>
          <w:sz w:val="24"/>
          <w:szCs w:val="24"/>
          <w:lang w:val="ro-RO"/>
        </w:rPr>
        <w:t>Comisia pentru calitatea procesului de studii și parteneriate de formare profesională;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Comisia pentru calitatea procesului de studii și parteneriate de formare profesională apreciază planul de învățământ al programului nou de studii, ținându-se cont de: actualitatea programului; necesitățile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pieții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muncii; volumul de muncă al studenților / formabililor, precum și al parcursului educațional; eficacitatea procedurilor de evaluare a studenților / formabililor și face eventuale propuneri de completare;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Noul  program  de  studii  se  face  cu  aprobarea Senatului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universităţii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Planul de studii se coordonează cu Ministerul de resort;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Titularii  unităților  de  curs  ale  programului  de  studii  proiectează  unitățile  de curs / modulele,  elaborează  Curriculumul  unității  de  curs/modului;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numește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Departamentului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propunerea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Șefului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Departament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noului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program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echipei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elaborare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raportului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autorizare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internă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noului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program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Întocmirea Raportului de autoevaluare în vederea autorizării  de  funcționare  provizorie  a  programului  de  studii  conform  standardelor  de acreditare,  criteriilor  și  indicatorilor  de  performanță  în  conformitate  cu  cerințele 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Agenției</w:t>
      </w:r>
      <w:proofErr w:type="spellEnd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Naționale</w:t>
      </w:r>
      <w:proofErr w:type="spellEnd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Asigurare</w:t>
      </w:r>
      <w:proofErr w:type="spellEnd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Calității</w:t>
      </w:r>
      <w:proofErr w:type="spellEnd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Educație</w:t>
      </w:r>
      <w:proofErr w:type="spellEnd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Cercetare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Programele  de  studii  universitare  sunt  supuse  unui  proces  de  monitorizare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evaluare internă în vederea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menţinerii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îmbunătăţirii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continue a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calităţii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Monitorizarea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modului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desfăşoară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procesele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educaţionale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depistarea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neajunsurilor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ţinerea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sub control 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neconformităţilor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2EF3" w:rsidRPr="00F42EF3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Monitorizarea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implică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asemenea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realizarea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auditului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verificarea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respectării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procedurilor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standardelor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proceselor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educaţionale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2EF3" w:rsidRDefault="00F42EF3" w:rsidP="00F42EF3">
      <w:pPr>
        <w:pStyle w:val="a3"/>
        <w:tabs>
          <w:tab w:val="left" w:pos="720"/>
        </w:tabs>
        <w:spacing w:after="0" w:line="276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81"/>
        <w:tblW w:w="1010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308"/>
      </w:tblGrid>
      <w:tr w:rsidR="00F42EF3" w:rsidRPr="00F61A91" w:rsidTr="00142E6D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33AB5DFB" wp14:editId="50413D1A">
                  <wp:extent cx="1247775" cy="1240272"/>
                  <wp:effectExtent l="0" t="0" r="0" b="0"/>
                  <wp:docPr id="11" name="Рисунок 11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b/>
              </w:rPr>
              <w:t>MANUALUL DE PROCEDURI SPECIFICE ŞI DE SISTEM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COD: PS-AC-0</w:t>
            </w:r>
            <w:r>
              <w:rPr>
                <w:rStyle w:val="FontStyle215"/>
                <w:sz w:val="24"/>
                <w:szCs w:val="24"/>
                <w:lang w:val="ro-RO" w:eastAsia="ro-RO"/>
              </w:rPr>
              <w:t>1</w:t>
            </w:r>
          </w:p>
        </w:tc>
      </w:tr>
      <w:tr w:rsidR="00F42EF3" w:rsidRPr="00F61A91" w:rsidTr="00142E6D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Procedură de asigurare a calității privind INIŢIEREA, APROBAREA, MONITORIZAREA ŞI EVALUAREA</w:t>
            </w: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PERIODICA A PROGRAMELOR DE STUDII (CICLUL I, II, FORMARE PROFESIONALĂ CONTINUĂ)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Ed. / Rev.</w:t>
            </w: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1 / 0</w:t>
            </w:r>
          </w:p>
        </w:tc>
      </w:tr>
    </w:tbl>
    <w:p w:rsidR="00F42EF3" w:rsidRDefault="00F42EF3" w:rsidP="00F42EF3">
      <w:pPr>
        <w:pStyle w:val="a3"/>
        <w:tabs>
          <w:tab w:val="left" w:pos="720"/>
        </w:tabs>
        <w:spacing w:after="0" w:line="276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EF3" w:rsidRPr="00FA6E9E" w:rsidRDefault="00F42EF3" w:rsidP="00F42EF3">
      <w:pPr>
        <w:pStyle w:val="a3"/>
        <w:tabs>
          <w:tab w:val="left" w:pos="720"/>
        </w:tabs>
        <w:spacing w:after="0" w:line="276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Monitorizarea  programelor  de  studii include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acţiuni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planificate  de  analiză  a  rezultatelor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activităţilor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specifice  programului  de  studii,  precum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audituri interne;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Monitorizarea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principal, SMCGCC,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conducerii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instutuției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Concluziile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program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şedinţelor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Senatului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Monitorizarea  programelor  de  studii vizează:</w:t>
      </w:r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actualitatea programului; necesitățile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ro-RO"/>
        </w:rPr>
        <w:t>pieții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ro-RO"/>
        </w:rPr>
        <w:t xml:space="preserve"> muncii; volumul de muncă al studenților / formabililor, precum și al parcursului educațional; eficacității procedurilor de evaluare a studenților / formabililor,</w:t>
      </w: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așteptările, nevoile și satisfacția </w:t>
      </w:r>
      <w:r w:rsidRPr="00FA6E9E">
        <w:rPr>
          <w:rFonts w:ascii="Times New Roman" w:hAnsi="Times New Roman" w:cs="Times New Roman"/>
          <w:sz w:val="24"/>
          <w:szCs w:val="24"/>
          <w:lang w:val="ro-RO"/>
        </w:rPr>
        <w:t>studenților / formabililor</w:t>
      </w: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raport cu programul de studii; mediul de învățare, serviciile de sprijin/susținere pentru studenții programului;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sz w:val="24"/>
          <w:szCs w:val="24"/>
          <w:lang w:val="en-US"/>
        </w:rPr>
        <w:t>SMCGCC</w:t>
      </w:r>
      <w:r w:rsidRPr="00FA6E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elaborează (o dată la 3-4 ani) sinteze  privind  calitatea  programelor  de  studii  din  universitate supuse  analizei;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Sintezele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obţinute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prin monitorizarea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evaluarea internă a programelor de studii, se discută la  nivel  de  departament / catedră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facultate  pentru  stabilirea  de  măsuri corective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preventive;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sz w:val="24"/>
          <w:szCs w:val="24"/>
          <w:lang w:val="ro-RO"/>
        </w:rPr>
        <w:t>Directorul de program,</w:t>
      </w:r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responsabil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analizează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sinteză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SMCGCC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monitorizează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evaluează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care s-au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realizat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planurile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A6E9E">
        <w:rPr>
          <w:rFonts w:ascii="Times New Roman" w:hAnsi="Times New Roman" w:cs="Times New Roman"/>
          <w:sz w:val="24"/>
          <w:szCs w:val="24"/>
          <w:lang w:val="en-US"/>
        </w:rPr>
        <w:t>îmbunătăţire</w:t>
      </w:r>
      <w:proofErr w:type="spellEnd"/>
      <w:r w:rsidRPr="00FA6E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F42EF3" w:rsidRPr="00FA6E9E" w:rsidRDefault="00F42EF3" w:rsidP="00F42EF3">
      <w:pPr>
        <w:pStyle w:val="a3"/>
        <w:numPr>
          <w:ilvl w:val="1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  baza  evaluării  interne  a  programelor de  studii,  Senatul 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universităţii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poate  dispune intrarea  în  lichidare  sau  oprirea  temporară  a  programelor  de  studii  neperformante,  la  propunerea Consiliului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facultăţii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Consiliului de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Administraţie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fără a prejudicia </w:t>
      </w:r>
      <w:proofErr w:type="spellStart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>studenţii</w:t>
      </w:r>
      <w:proofErr w:type="spellEnd"/>
      <w:r w:rsidRPr="00FA6E9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</w:p>
    <w:p w:rsidR="00F42EF3" w:rsidRDefault="00F42EF3" w:rsidP="00F42E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F42EF3" w:rsidRPr="009F7814" w:rsidRDefault="00F42EF3" w:rsidP="00F42EF3">
      <w:pPr>
        <w:pStyle w:val="a3"/>
        <w:numPr>
          <w:ilvl w:val="0"/>
          <w:numId w:val="2"/>
        </w:numPr>
        <w:tabs>
          <w:tab w:val="left" w:pos="1380"/>
          <w:tab w:val="left" w:pos="9355"/>
        </w:tabs>
        <w:spacing w:after="0" w:line="276" w:lineRule="auto"/>
        <w:jc w:val="both"/>
        <w:rPr>
          <w:rStyle w:val="FontStyle215"/>
          <w:bCs w:val="0"/>
          <w:sz w:val="24"/>
          <w:szCs w:val="24"/>
          <w:lang w:val="ro-RO"/>
        </w:rPr>
      </w:pPr>
      <w:r w:rsidRPr="009F7814">
        <w:rPr>
          <w:rStyle w:val="FontStyle215"/>
          <w:bCs w:val="0"/>
          <w:sz w:val="24"/>
          <w:szCs w:val="24"/>
          <w:lang w:val="ro-RO"/>
        </w:rPr>
        <w:t>Analiza procedurii:</w:t>
      </w:r>
    </w:p>
    <w:p w:rsidR="00F42EF3" w:rsidRPr="00B43B3F" w:rsidRDefault="00F42EF3" w:rsidP="00F42EF3">
      <w:pPr>
        <w:pStyle w:val="Style102"/>
        <w:widowControl/>
        <w:numPr>
          <w:ilvl w:val="1"/>
          <w:numId w:val="6"/>
        </w:numPr>
        <w:spacing w:line="240" w:lineRule="auto"/>
        <w:ind w:right="4"/>
        <w:rPr>
          <w:rStyle w:val="FontStyle216"/>
          <w:color w:val="000000" w:themeColor="text1"/>
          <w:lang w:val="ro-RO" w:eastAsia="ro-RO"/>
        </w:rPr>
      </w:pPr>
      <w:r w:rsidRPr="00B43B3F">
        <w:rPr>
          <w:rStyle w:val="FontStyle216"/>
          <w:color w:val="000000" w:themeColor="text1"/>
          <w:lang w:val="ro-RO" w:eastAsia="ro-RO"/>
        </w:rPr>
        <w:t>Analiza și revizuirea procedurii se face odată la 3 ani.</w:t>
      </w:r>
    </w:p>
    <w:p w:rsidR="00F42EF3" w:rsidRPr="00B43B3F" w:rsidRDefault="00F42EF3" w:rsidP="00F42E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B3F">
        <w:rPr>
          <w:rStyle w:val="FontStyle216"/>
          <w:sz w:val="24"/>
          <w:szCs w:val="24"/>
          <w:lang w:val="ro-RO" w:eastAsia="ro-RO"/>
        </w:rPr>
        <w:t>.</w:t>
      </w:r>
    </w:p>
    <w:p w:rsidR="00F42EF3" w:rsidRPr="009F7814" w:rsidRDefault="00F42EF3" w:rsidP="00F42E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42EF3" w:rsidRDefault="00F42EF3" w:rsidP="00F42E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F42EF3" w:rsidRDefault="00F42EF3" w:rsidP="00F42E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F42EF3" w:rsidRPr="009F7814" w:rsidRDefault="00F42EF3" w:rsidP="00F42EF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F42EF3" w:rsidRPr="00F61A91" w:rsidRDefault="00F42EF3" w:rsidP="00F42E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81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5395"/>
        <w:gridCol w:w="2693"/>
      </w:tblGrid>
      <w:tr w:rsidR="00F42EF3" w:rsidRPr="00F61A91" w:rsidTr="00142E6D">
        <w:trPr>
          <w:trHeight w:val="97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71D1DCE4" wp14:editId="1B141DDA">
                  <wp:extent cx="1247775" cy="1240272"/>
                  <wp:effectExtent l="0" t="0" r="0" b="0"/>
                  <wp:docPr id="10" name="Рисунок 10" descr="D:\!!! ACTIVE\!!!! ACTIV\!!! RECTOR\USC_aniversari si info generale\LOGOTIP_Cahul\US Cahul_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!!! ACTIVE\!!!! ACTIV\!!! RECTOR\USC_aniversari si info generale\LOGOTIP_Cahul\US Cahul_logot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04" cy="128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Fonts w:ascii="Times New Roman" w:hAnsi="Times New Roman" w:cs="Times New Roman"/>
                <w:b/>
              </w:rPr>
              <w:t>MANUALUL DE PROCEDURI SPECIFICE ŞI DE SISTEM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widowControl/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COD: PS-AC-0</w:t>
            </w:r>
            <w:r>
              <w:rPr>
                <w:rStyle w:val="FontStyle215"/>
                <w:sz w:val="24"/>
                <w:szCs w:val="24"/>
                <w:lang w:val="ro-RO" w:eastAsia="ro-RO"/>
              </w:rPr>
              <w:t>1</w:t>
            </w:r>
          </w:p>
        </w:tc>
      </w:tr>
      <w:tr w:rsidR="00F42EF3" w:rsidRPr="00F61A91" w:rsidTr="00142E6D">
        <w:trPr>
          <w:trHeight w:val="991"/>
        </w:trPr>
        <w:tc>
          <w:tcPr>
            <w:tcW w:w="2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206"/>
              <w:rPr>
                <w:rStyle w:val="FontStyle215"/>
                <w:sz w:val="24"/>
                <w:szCs w:val="24"/>
                <w:lang w:val="ro-RO" w:eastAsia="ro-RO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Procedură de asigurare a calității privind INIŢIEREA, APROBAREA, MONITORIZAREA ŞI EVALUAREA</w:t>
            </w: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PERIODICA A PROGRAMELOR DE STUDII (CICLUL I, II, FORMARE PROFESIONALĂ CONTINUĂ)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EF3" w:rsidRPr="00F61A91" w:rsidRDefault="00F42EF3" w:rsidP="00142E6D">
            <w:pPr>
              <w:pStyle w:val="Style113"/>
              <w:widowControl/>
              <w:spacing w:line="276" w:lineRule="auto"/>
              <w:ind w:left="475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</w:p>
          <w:p w:rsidR="00F42EF3" w:rsidRPr="00F61A91" w:rsidRDefault="00F42EF3" w:rsidP="00142E6D">
            <w:pPr>
              <w:pStyle w:val="Style113"/>
              <w:spacing w:line="276" w:lineRule="auto"/>
              <w:jc w:val="center"/>
              <w:rPr>
                <w:rStyle w:val="FontStyle215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Ed. / Rev.</w:t>
            </w:r>
          </w:p>
          <w:p w:rsidR="00F42EF3" w:rsidRPr="00F61A91" w:rsidRDefault="00F42EF3" w:rsidP="00F42EF3">
            <w:pPr>
              <w:pStyle w:val="Style113"/>
              <w:numPr>
                <w:ilvl w:val="0"/>
                <w:numId w:val="5"/>
              </w:numPr>
              <w:spacing w:line="276" w:lineRule="auto"/>
              <w:jc w:val="center"/>
              <w:rPr>
                <w:rStyle w:val="FontStyle215"/>
                <w:b w:val="0"/>
                <w:sz w:val="24"/>
                <w:szCs w:val="24"/>
                <w:lang w:val="ro-RO" w:eastAsia="ro-RO"/>
              </w:rPr>
            </w:pPr>
            <w:r w:rsidRPr="00F61A91">
              <w:rPr>
                <w:rStyle w:val="FontStyle215"/>
                <w:sz w:val="24"/>
                <w:szCs w:val="24"/>
                <w:lang w:val="ro-RO" w:eastAsia="ro-RO"/>
              </w:rPr>
              <w:t>/ 0</w:t>
            </w:r>
          </w:p>
        </w:tc>
      </w:tr>
    </w:tbl>
    <w:p w:rsidR="00F42EF3" w:rsidRPr="00F61A91" w:rsidRDefault="00F42EF3" w:rsidP="00F42EF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EF3" w:rsidRPr="00F42EF3" w:rsidRDefault="00F42EF3" w:rsidP="00F42EF3">
      <w:pPr>
        <w:pStyle w:val="a3"/>
        <w:numPr>
          <w:ilvl w:val="0"/>
          <w:numId w:val="2"/>
        </w:numPr>
        <w:tabs>
          <w:tab w:val="left" w:pos="709"/>
          <w:tab w:val="left" w:pos="1380"/>
          <w:tab w:val="left" w:pos="935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1A91">
        <w:rPr>
          <w:rFonts w:ascii="Times New Roman" w:hAnsi="Times New Roman" w:cs="Times New Roman"/>
          <w:b/>
          <w:sz w:val="24"/>
          <w:szCs w:val="24"/>
          <w:lang w:val="en-US"/>
        </w:rPr>
        <w:t>REFERINŢE:</w:t>
      </w:r>
      <w:bookmarkStart w:id="0" w:name="_GoBack"/>
      <w:bookmarkEnd w:id="0"/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Moldova nr.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152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din 17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nr.  482 din 28.06.2017 cu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Nomenclatorului</w:t>
      </w:r>
      <w:proofErr w:type="spellEnd"/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formare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specialităților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superior.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superior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Național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Credite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,  conform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Ordinului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Ministrului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nr. 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1046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din 29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Planul-cadru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ciclul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I  -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Licență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ciclul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II  -  Master,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integrate,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ciclul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III  –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Doctorat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),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Ministrului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nr. 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1045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din 29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Regulamentul-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examenului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finalizare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licență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Ministrului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1047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din 29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Dispoziţia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ME nr.451. Cu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instruirea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concomitentă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specialităţi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înrudite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>, 2013.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Metodologia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evaluare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externă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calității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vederea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autorizării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funcționare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provizorie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acreditării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programelor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studii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instituțiilor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învățământ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profesional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tehnic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superior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formare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continuă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publicată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în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 526-528/29.12.18),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modificată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prin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Hotărârea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Guvernului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nr. </w:t>
      </w:r>
      <w:proofErr w:type="gramStart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1270</w:t>
      </w:r>
      <w:proofErr w:type="gramEnd"/>
      <w:r w:rsidRPr="00B837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din 26.12.18.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Ghid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Licență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superior,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Conducere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al ANACIP,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-verbal nr.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din 23.06.2016.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Ghid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Masterat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superior,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-verbal nr.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din 23.06.2016.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Ghid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programelor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formare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continua,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-verbal nr.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din 23.06.2016.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Carta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Stat „B. P.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Hasdeu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” din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Cahul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aprobată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Senatul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Stat „B. P.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Hasdeu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” din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Cahul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, la 29.05.2015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coordonată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Ministerul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Moldova.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a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învăţământul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superior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Naţional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Credite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Ședința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Senatului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USC,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-verbal nr.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06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din 21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  <w:r w:rsidRPr="00B837D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desfăşurare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studiilor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de master,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Ședința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Senatului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USC,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-verbal nr.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04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din 23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:rsidR="00F42EF3" w:rsidRPr="00B837DF" w:rsidRDefault="00F42EF3" w:rsidP="00F42EF3">
      <w:pPr>
        <w:pStyle w:val="a3"/>
        <w:numPr>
          <w:ilvl w:val="0"/>
          <w:numId w:val="3"/>
        </w:num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Reulamentul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continua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adulților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Ședința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Senatului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USC,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-verbal nr. </w:t>
      </w:r>
      <w:proofErr w:type="gramStart"/>
      <w:r w:rsidRPr="00B837DF">
        <w:rPr>
          <w:rFonts w:ascii="Times New Roman" w:hAnsi="Times New Roman" w:cs="Times New Roman"/>
          <w:sz w:val="24"/>
          <w:szCs w:val="24"/>
          <w:lang w:val="en-US"/>
        </w:rPr>
        <w:t>03</w:t>
      </w:r>
      <w:proofErr w:type="gram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din 29 </w:t>
      </w:r>
      <w:proofErr w:type="spellStart"/>
      <w:r w:rsidRPr="00B837DF"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 w:rsidRPr="00B837DF">
        <w:rPr>
          <w:rFonts w:ascii="Times New Roman" w:hAnsi="Times New Roman" w:cs="Times New Roman"/>
          <w:sz w:val="24"/>
          <w:szCs w:val="24"/>
          <w:lang w:val="en-US"/>
        </w:rPr>
        <w:t xml:space="preserve"> 2018.</w:t>
      </w:r>
    </w:p>
    <w:p w:rsidR="00F42EF3" w:rsidRPr="00542E81" w:rsidRDefault="00F42EF3" w:rsidP="00F42EF3">
      <w:pPr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EF3" w:rsidRPr="00F61A91" w:rsidRDefault="00F42EF3" w:rsidP="00F42EF3">
      <w:pPr>
        <w:pStyle w:val="a3"/>
        <w:tabs>
          <w:tab w:val="left" w:pos="709"/>
          <w:tab w:val="left" w:pos="1380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p w:rsidR="00F42EF3" w:rsidRPr="00F42EF3" w:rsidRDefault="00F42EF3">
      <w:pPr>
        <w:rPr>
          <w:lang w:val="en-US"/>
        </w:rPr>
      </w:pPr>
    </w:p>
    <w:sectPr w:rsidR="00F42EF3" w:rsidRPr="00F4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E4014"/>
    <w:multiLevelType w:val="multilevel"/>
    <w:tmpl w:val="8FE6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B040D9"/>
    <w:multiLevelType w:val="hybridMultilevel"/>
    <w:tmpl w:val="E06C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727E"/>
    <w:multiLevelType w:val="hybridMultilevel"/>
    <w:tmpl w:val="CE5ADA3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>
    <w:nsid w:val="3BC526D2"/>
    <w:multiLevelType w:val="multilevel"/>
    <w:tmpl w:val="085866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A7C5B"/>
    <w:multiLevelType w:val="hybridMultilevel"/>
    <w:tmpl w:val="16669E70"/>
    <w:lvl w:ilvl="0" w:tplc="96D84BD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C2"/>
    <w:rsid w:val="00D726C2"/>
    <w:rsid w:val="00F14C43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0F97-5537-4AB9-A6D9-872C8088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F3"/>
    <w:pPr>
      <w:ind w:left="720"/>
      <w:contextualSpacing/>
    </w:pPr>
  </w:style>
  <w:style w:type="paragraph" w:customStyle="1" w:styleId="cn">
    <w:name w:val="cn"/>
    <w:basedOn w:val="a"/>
    <w:rsid w:val="00F42E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5">
    <w:name w:val="Font Style215"/>
    <w:basedOn w:val="a0"/>
    <w:uiPriority w:val="99"/>
    <w:rsid w:val="00F42E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3">
    <w:name w:val="Style113"/>
    <w:basedOn w:val="a"/>
    <w:uiPriority w:val="99"/>
    <w:rsid w:val="00F42EF3"/>
    <w:pPr>
      <w:widowControl w:val="0"/>
      <w:autoSpaceDE w:val="0"/>
      <w:autoSpaceDN w:val="0"/>
      <w:adjustRightInd w:val="0"/>
      <w:spacing w:after="0" w:line="276" w:lineRule="exact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16">
    <w:name w:val="Style16"/>
    <w:basedOn w:val="a"/>
    <w:uiPriority w:val="99"/>
    <w:rsid w:val="00F42E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3">
    <w:name w:val="Style23"/>
    <w:basedOn w:val="a"/>
    <w:uiPriority w:val="99"/>
    <w:rsid w:val="00F42E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4">
    <w:name w:val="Style24"/>
    <w:basedOn w:val="a"/>
    <w:uiPriority w:val="99"/>
    <w:rsid w:val="00F42E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FontStyle196">
    <w:name w:val="Font Style196"/>
    <w:basedOn w:val="a0"/>
    <w:uiPriority w:val="99"/>
    <w:rsid w:val="00F42EF3"/>
    <w:rPr>
      <w:rFonts w:ascii="Times New Roman" w:hAnsi="Times New Roman" w:cs="Times New Roman"/>
      <w:sz w:val="26"/>
      <w:szCs w:val="26"/>
    </w:rPr>
  </w:style>
  <w:style w:type="character" w:customStyle="1" w:styleId="FontStyle197">
    <w:name w:val="Font Style197"/>
    <w:basedOn w:val="a0"/>
    <w:uiPriority w:val="99"/>
    <w:rsid w:val="00F42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F42E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2">
    <w:name w:val="Style22"/>
    <w:basedOn w:val="a"/>
    <w:uiPriority w:val="99"/>
    <w:rsid w:val="00F42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5">
    <w:name w:val="Style25"/>
    <w:basedOn w:val="a"/>
    <w:uiPriority w:val="99"/>
    <w:rsid w:val="00F42E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27">
    <w:name w:val="Style27"/>
    <w:basedOn w:val="a"/>
    <w:uiPriority w:val="99"/>
    <w:rsid w:val="00F42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F42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FontStyle216">
    <w:name w:val="Font Style216"/>
    <w:basedOn w:val="a0"/>
    <w:uiPriority w:val="99"/>
    <w:rsid w:val="00F42EF3"/>
    <w:rPr>
      <w:rFonts w:ascii="Times New Roman" w:hAnsi="Times New Roman" w:cs="Times New Roman"/>
      <w:sz w:val="22"/>
      <w:szCs w:val="22"/>
    </w:rPr>
  </w:style>
  <w:style w:type="paragraph" w:customStyle="1" w:styleId="Style102">
    <w:name w:val="Style102"/>
    <w:basedOn w:val="a"/>
    <w:uiPriority w:val="99"/>
    <w:rsid w:val="00F42EF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Cambria" w:eastAsiaTheme="minorEastAsia" w:hAnsi="Cambria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F42EF3"/>
    <w:rPr>
      <w:b/>
      <w:bCs/>
    </w:rPr>
  </w:style>
  <w:style w:type="character" w:customStyle="1" w:styleId="Bodytext">
    <w:name w:val="Body text_"/>
    <w:basedOn w:val="a0"/>
    <w:link w:val="Corptext1"/>
    <w:uiPriority w:val="99"/>
    <w:qFormat/>
    <w:rsid w:val="00F42EF3"/>
    <w:rPr>
      <w:rFonts w:ascii="Arial" w:hAnsi="Arial" w:cs="Arial"/>
      <w:shd w:val="clear" w:color="auto" w:fill="FFFFFF"/>
    </w:rPr>
  </w:style>
  <w:style w:type="paragraph" w:customStyle="1" w:styleId="Corptext1">
    <w:name w:val="Corp text1"/>
    <w:basedOn w:val="a"/>
    <w:link w:val="Bodytext"/>
    <w:uiPriority w:val="99"/>
    <w:qFormat/>
    <w:rsid w:val="00F42EF3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</w:rPr>
  </w:style>
  <w:style w:type="character" w:customStyle="1" w:styleId="a6">
    <w:name w:val="a"/>
    <w:basedOn w:val="a0"/>
    <w:rsid w:val="00F42EF3"/>
  </w:style>
  <w:style w:type="character" w:styleId="a7">
    <w:name w:val="Hyperlink"/>
    <w:basedOn w:val="a0"/>
    <w:uiPriority w:val="99"/>
    <w:semiHidden/>
    <w:unhideWhenUsed/>
    <w:rsid w:val="00F42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2</cp:revision>
  <dcterms:created xsi:type="dcterms:W3CDTF">2021-03-31T06:21:00Z</dcterms:created>
  <dcterms:modified xsi:type="dcterms:W3CDTF">2021-03-31T06:25:00Z</dcterms:modified>
</cp:coreProperties>
</file>